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B4562" w14:textId="18264CF4" w:rsidR="00357A96" w:rsidRPr="007B6D1E" w:rsidRDefault="00357A96" w:rsidP="00357A96">
      <w:pPr>
        <w:pStyle w:val="3GPPHeader"/>
        <w:spacing w:after="60"/>
        <w:rPr>
          <w:sz w:val="32"/>
          <w:szCs w:val="32"/>
        </w:rPr>
      </w:pPr>
      <w:bookmarkStart w:id="0" w:name="_Hlk524960622"/>
      <w:r w:rsidRPr="002B28E7">
        <w:t>3GPP TSG-RAN WG1 Meeting #</w:t>
      </w:r>
      <w:r w:rsidR="004E308F" w:rsidRPr="002B28E7">
        <w:t>97</w:t>
      </w:r>
      <w:r w:rsidRPr="002B28E7">
        <w:tab/>
      </w:r>
      <w:r w:rsidRPr="007B6D1E">
        <w:rPr>
          <w:sz w:val="32"/>
          <w:szCs w:val="32"/>
        </w:rPr>
        <w:t>R1-19</w:t>
      </w:r>
      <w:r w:rsidR="007B6D1E" w:rsidRPr="007B6D1E">
        <w:rPr>
          <w:sz w:val="32"/>
          <w:szCs w:val="32"/>
        </w:rPr>
        <w:t>07458</w:t>
      </w:r>
    </w:p>
    <w:p w14:paraId="0B11701C" w14:textId="5A5E4F11" w:rsidR="00357A96" w:rsidRPr="002B28E7" w:rsidRDefault="004E308F" w:rsidP="00357A96">
      <w:pPr>
        <w:pStyle w:val="3GPPHeader"/>
      </w:pPr>
      <w:r w:rsidRPr="002B28E7">
        <w:t>Reno, NV, USA, 13</w:t>
      </w:r>
      <w:r w:rsidR="00357A96" w:rsidRPr="002B28E7">
        <w:rPr>
          <w:vertAlign w:val="superscript"/>
        </w:rPr>
        <w:t>th</w:t>
      </w:r>
      <w:r w:rsidR="00357A96" w:rsidRPr="002B28E7">
        <w:t xml:space="preserve"> – 1</w:t>
      </w:r>
      <w:r w:rsidRPr="002B28E7">
        <w:t>7</w:t>
      </w:r>
      <w:r w:rsidR="00357A96" w:rsidRPr="002B28E7">
        <w:rPr>
          <w:vertAlign w:val="superscript"/>
        </w:rPr>
        <w:t>th</w:t>
      </w:r>
      <w:r w:rsidRPr="002B28E7">
        <w:t xml:space="preserve"> </w:t>
      </w:r>
      <w:proofErr w:type="gramStart"/>
      <w:r w:rsidRPr="002B28E7">
        <w:t>May</w:t>
      </w:r>
      <w:r w:rsidR="00357A96" w:rsidRPr="002B28E7">
        <w:t>,</w:t>
      </w:r>
      <w:proofErr w:type="gramEnd"/>
      <w:r w:rsidR="00357A96" w:rsidRPr="002B28E7">
        <w:t xml:space="preserve"> 2019</w:t>
      </w:r>
    </w:p>
    <w:p w14:paraId="752B6174" w14:textId="77777777" w:rsidR="009F0D27" w:rsidRPr="002B28E7" w:rsidRDefault="009F0D27" w:rsidP="009F0D27">
      <w:pPr>
        <w:pStyle w:val="3GPPHeader"/>
      </w:pPr>
    </w:p>
    <w:p w14:paraId="7EEB5E57" w14:textId="19BAB6C7" w:rsidR="00B048E3" w:rsidRPr="002B28E7" w:rsidRDefault="00B048E3" w:rsidP="00B048E3">
      <w:pPr>
        <w:pStyle w:val="3GPPHeader"/>
        <w:rPr>
          <w:sz w:val="22"/>
        </w:rPr>
      </w:pPr>
      <w:r w:rsidRPr="002B28E7">
        <w:rPr>
          <w:sz w:val="22"/>
        </w:rPr>
        <w:t>Agenda Item:</w:t>
      </w:r>
      <w:r w:rsidRPr="002B28E7">
        <w:rPr>
          <w:sz w:val="22"/>
        </w:rPr>
        <w:tab/>
      </w:r>
      <w:r w:rsidR="00E6180E" w:rsidRPr="002B28E7">
        <w:rPr>
          <w:sz w:val="22"/>
        </w:rPr>
        <w:t>7.2.2.</w:t>
      </w:r>
      <w:r w:rsidR="003318FB" w:rsidRPr="002B28E7">
        <w:rPr>
          <w:sz w:val="22"/>
        </w:rPr>
        <w:t>2.</w:t>
      </w:r>
      <w:r w:rsidR="00E6180E" w:rsidRPr="002B28E7">
        <w:rPr>
          <w:sz w:val="22"/>
        </w:rPr>
        <w:t>5</w:t>
      </w:r>
    </w:p>
    <w:p w14:paraId="268F38BA" w14:textId="77777777" w:rsidR="00B048E3" w:rsidRPr="002B28E7" w:rsidRDefault="00B048E3" w:rsidP="00B048E3">
      <w:pPr>
        <w:pStyle w:val="3GPPHeader"/>
        <w:rPr>
          <w:sz w:val="22"/>
        </w:rPr>
      </w:pPr>
      <w:r w:rsidRPr="002B28E7">
        <w:rPr>
          <w:sz w:val="22"/>
        </w:rPr>
        <w:t>Source:</w:t>
      </w:r>
      <w:r w:rsidRPr="002B28E7">
        <w:rPr>
          <w:sz w:val="22"/>
        </w:rPr>
        <w:tab/>
        <w:t>Ericsson</w:t>
      </w:r>
    </w:p>
    <w:p w14:paraId="2467EAC2" w14:textId="13D901B5" w:rsidR="00E90E49" w:rsidRPr="002B28E7" w:rsidRDefault="003D3C45" w:rsidP="00311702">
      <w:pPr>
        <w:pStyle w:val="3GPPHeader"/>
        <w:rPr>
          <w:sz w:val="22"/>
        </w:rPr>
      </w:pPr>
      <w:r w:rsidRPr="002B28E7">
        <w:rPr>
          <w:sz w:val="22"/>
        </w:rPr>
        <w:t>Title:</w:t>
      </w:r>
      <w:r w:rsidR="00E90E49" w:rsidRPr="002B28E7">
        <w:rPr>
          <w:sz w:val="22"/>
        </w:rPr>
        <w:tab/>
      </w:r>
      <w:r w:rsidR="00E6180E" w:rsidRPr="002B28E7">
        <w:rPr>
          <w:sz w:val="22"/>
        </w:rPr>
        <w:t>Wideband operation for NR-U</w:t>
      </w:r>
    </w:p>
    <w:p w14:paraId="41A5EA0B" w14:textId="77777777" w:rsidR="00E90E49" w:rsidRPr="00CE0424" w:rsidRDefault="00E90E49" w:rsidP="00D546FF">
      <w:pPr>
        <w:pStyle w:val="3GPPHeader"/>
        <w:rPr>
          <w:sz w:val="22"/>
        </w:rPr>
      </w:pPr>
      <w:r w:rsidRPr="00421245">
        <w:rPr>
          <w:sz w:val="22"/>
        </w:rPr>
        <w:t>Document for:</w:t>
      </w:r>
      <w:r w:rsidRPr="00421245">
        <w:rPr>
          <w:sz w:val="22"/>
        </w:rPr>
        <w:tab/>
      </w:r>
      <w:r w:rsidRPr="004E3838">
        <w:rPr>
          <w:sz w:val="22"/>
        </w:rPr>
        <w:t>Discussion, Decision</w:t>
      </w:r>
    </w:p>
    <w:bookmarkEnd w:id="0"/>
    <w:p w14:paraId="41B6B850" w14:textId="5D29E532" w:rsidR="00A87CCB" w:rsidRDefault="008F469B" w:rsidP="00FA6B19">
      <w:pPr>
        <w:pStyle w:val="Heading1"/>
      </w:pPr>
      <w:r>
        <w:t>1</w:t>
      </w:r>
      <w:r w:rsidR="00230D18">
        <w:tab/>
      </w:r>
      <w:r w:rsidR="00A87CCB">
        <w:t>Introduction</w:t>
      </w:r>
    </w:p>
    <w:p w14:paraId="0EAC72EB" w14:textId="4288B169" w:rsidR="00071498" w:rsidRPr="002B28E7" w:rsidRDefault="00071498" w:rsidP="00071498">
      <w:pPr>
        <w:pStyle w:val="BodyText"/>
      </w:pPr>
      <w:r w:rsidRPr="002B28E7">
        <w:t xml:space="preserve">As for NR in licensed bands, it is expected that NR-U will support transmission over a wide bandwidth (&gt;&gt; 20 MHz). </w:t>
      </w:r>
      <w:r w:rsidR="00545617" w:rsidRPr="002B28E7">
        <w:t xml:space="preserve">Related to this, </w:t>
      </w:r>
      <w:r w:rsidRPr="002B28E7">
        <w:t xml:space="preserve">the following objective is listed in the NR-U WID </w:t>
      </w:r>
      <w:r>
        <w:fldChar w:fldCharType="begin"/>
      </w:r>
      <w:r w:rsidRPr="002B28E7">
        <w:instrText xml:space="preserve"> REF _Ref534127550 \r \h  \* MERGEFORMAT </w:instrText>
      </w:r>
      <w:r>
        <w:fldChar w:fldCharType="separate"/>
      </w:r>
      <w:r w:rsidR="00613F09" w:rsidRPr="002B28E7">
        <w:t>[1]</w:t>
      </w:r>
      <w:r>
        <w:fldChar w:fldCharType="end"/>
      </w:r>
      <w:r w:rsidRPr="002B28E7">
        <w:t>:</w:t>
      </w:r>
    </w:p>
    <w:p w14:paraId="08C16CE7" w14:textId="77777777" w:rsidR="00071498" w:rsidRPr="002B28E7" w:rsidRDefault="00071498" w:rsidP="00071498">
      <w:pPr>
        <w:pStyle w:val="BodyText"/>
        <w:ind w:left="567"/>
        <w:rPr>
          <w:rFonts w:ascii="Times New Roman" w:hAnsi="Times New Roman"/>
          <w:i/>
        </w:rPr>
      </w:pPr>
      <w:r w:rsidRPr="002B28E7">
        <w:rPr>
          <w:rFonts w:ascii="Times New Roman" w:hAnsi="Times New Roman"/>
          <w:i/>
          <w:lang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2B28E7">
        <w:rPr>
          <w:rFonts w:ascii="Times New Roman" w:hAnsi="Times New Roman"/>
          <w:i/>
          <w:lang w:eastAsia="ja-JP"/>
        </w:rPr>
        <w:t>subbands</w:t>
      </w:r>
      <w:proofErr w:type="spellEnd"/>
      <w:r w:rsidRPr="002B28E7">
        <w:rPr>
          <w:rFonts w:ascii="Times New Roman" w:hAnsi="Times New Roman"/>
          <w:i/>
          <w:lang w:eastAsia="ja-JP"/>
        </w:rPr>
        <w:t xml:space="preserve"> within the wideband carrier. For all wide-band operation cases, CCA is performed in units of 20MHz (at least for 5GHz).</w:t>
      </w:r>
    </w:p>
    <w:p w14:paraId="75554B8D" w14:textId="1CEB85A1" w:rsidR="003A01AD" w:rsidRPr="002B28E7" w:rsidRDefault="00545617" w:rsidP="00966F8D">
      <w:pPr>
        <w:pStyle w:val="BodyText"/>
      </w:pPr>
      <w:r w:rsidRPr="002B28E7">
        <w:t>Despite the wording of this objective, the common understanding in RAN1 appears to be that this may be achieved through either of the following approaches: single serving cell of bandwidth 20 MHz or greater or aggregation of multiple serving cells of bandwidth 20 MHz or greater. It is also stated CCA is performed in units of 20 MHz (at least for 5 GHz)</w:t>
      </w:r>
      <w:r w:rsidR="003A01AD" w:rsidRPr="002B28E7">
        <w:t>. This is referred to here as the LBT bandwidth (LBW)</w:t>
      </w:r>
      <w:r w:rsidRPr="002B28E7">
        <w:t xml:space="preserve">. The </w:t>
      </w:r>
      <w:r w:rsidR="003A01AD" w:rsidRPr="002B28E7">
        <w:t xml:space="preserve">distinguishing feature amongst all scenarios is </w:t>
      </w:r>
      <w:r w:rsidRPr="002B28E7">
        <w:t xml:space="preserve">the relationship between the carrier bandwidth (CBW) and </w:t>
      </w:r>
      <w:r w:rsidR="003A01AD" w:rsidRPr="002B28E7">
        <w:t xml:space="preserve">LBW for a </w:t>
      </w:r>
      <w:proofErr w:type="gramStart"/>
      <w:r w:rsidR="003A01AD" w:rsidRPr="002B28E7">
        <w:t>particular serving</w:t>
      </w:r>
      <w:proofErr w:type="gramEnd"/>
      <w:r w:rsidR="003A01AD" w:rsidRPr="002B28E7">
        <w:t xml:space="preserve"> cell. Hence, for the purposes of discussion we define the following:</w:t>
      </w:r>
    </w:p>
    <w:p w14:paraId="67DCC604" w14:textId="4352F81F" w:rsidR="003B0AA7" w:rsidRPr="002B28E7" w:rsidRDefault="003A689D" w:rsidP="00966F8D">
      <w:pPr>
        <w:pStyle w:val="Proposal"/>
        <w:spacing w:after="0"/>
      </w:pPr>
      <w:bookmarkStart w:id="1" w:name="_Ref7800505"/>
      <w:bookmarkStart w:id="2" w:name="_Toc7804500"/>
      <w:r w:rsidRPr="002B28E7">
        <w:t xml:space="preserve">For the purposes of discussion, two wideband modes </w:t>
      </w:r>
      <w:r w:rsidR="007941DC" w:rsidRPr="002B28E7">
        <w:t xml:space="preserve">with carrier aggregation </w:t>
      </w:r>
      <w:r w:rsidR="003A01AD" w:rsidRPr="002B28E7">
        <w:t>are</w:t>
      </w:r>
      <w:r w:rsidRPr="002B28E7">
        <w:t xml:space="preserve"> </w:t>
      </w:r>
      <w:r w:rsidR="003A01AD" w:rsidRPr="002B28E7">
        <w:t>defined</w:t>
      </w:r>
      <w:r w:rsidRPr="002B28E7">
        <w:t xml:space="preserve"> as follows</w:t>
      </w:r>
      <w:r w:rsidR="00966F8D" w:rsidRPr="002B28E7">
        <w:t>:</w:t>
      </w:r>
      <w:bookmarkEnd w:id="1"/>
      <w:bookmarkEnd w:id="2"/>
    </w:p>
    <w:p w14:paraId="00A49DD0" w14:textId="3D4C1E70" w:rsidR="003A689D" w:rsidRDefault="003B0AA7" w:rsidP="00D71E2C">
      <w:pPr>
        <w:pStyle w:val="Proposal"/>
        <w:numPr>
          <w:ilvl w:val="0"/>
          <w:numId w:val="19"/>
        </w:numPr>
        <w:spacing w:after="0"/>
      </w:pPr>
      <w:bookmarkStart w:id="3" w:name="_Toc7804501"/>
      <w:r>
        <w:t>Wideband Mode 1</w:t>
      </w:r>
      <w:r w:rsidR="00B07E35">
        <w:t xml:space="preserve"> (WB1):</w:t>
      </w:r>
      <w:bookmarkEnd w:id="3"/>
    </w:p>
    <w:p w14:paraId="263B5C19" w14:textId="1393AF79" w:rsidR="003A689D" w:rsidRPr="002B28E7" w:rsidRDefault="003A01AD" w:rsidP="00D71E2C">
      <w:pPr>
        <w:pStyle w:val="Proposal"/>
        <w:numPr>
          <w:ilvl w:val="1"/>
          <w:numId w:val="19"/>
        </w:numPr>
        <w:spacing w:after="0"/>
      </w:pPr>
      <w:bookmarkStart w:id="4" w:name="_Toc7804502"/>
      <w:r w:rsidRPr="002B28E7">
        <w:t>Carrier bandwidth is equal to the LBT bandwidth (CBW = LBW)</w:t>
      </w:r>
      <w:bookmarkEnd w:id="4"/>
    </w:p>
    <w:p w14:paraId="3C2EA810" w14:textId="26D747A4" w:rsidR="003A689D" w:rsidRDefault="003A689D" w:rsidP="00D71E2C">
      <w:pPr>
        <w:pStyle w:val="Proposal"/>
        <w:numPr>
          <w:ilvl w:val="0"/>
          <w:numId w:val="19"/>
        </w:numPr>
        <w:spacing w:after="0"/>
      </w:pPr>
      <w:bookmarkStart w:id="5" w:name="_Toc7804503"/>
      <w:r>
        <w:t>Wideband Mode 2</w:t>
      </w:r>
      <w:r w:rsidR="00B07E35">
        <w:t xml:space="preserve"> (WB2):</w:t>
      </w:r>
      <w:bookmarkEnd w:id="5"/>
    </w:p>
    <w:p w14:paraId="03345391" w14:textId="38F39E61" w:rsidR="003A689D" w:rsidRPr="002B28E7" w:rsidRDefault="003A01AD" w:rsidP="00D71E2C">
      <w:pPr>
        <w:pStyle w:val="Proposal"/>
        <w:numPr>
          <w:ilvl w:val="1"/>
          <w:numId w:val="19"/>
        </w:numPr>
        <w:spacing w:after="0"/>
      </w:pPr>
      <w:bookmarkStart w:id="6" w:name="_Toc7804504"/>
      <w:r w:rsidRPr="002B28E7">
        <w:t>Carrier bandwidth is greater than the LBT bandwidth (CBW &gt; LBW)</w:t>
      </w:r>
      <w:bookmarkEnd w:id="6"/>
    </w:p>
    <w:p w14:paraId="750FD1B1" w14:textId="7E2F2D16" w:rsidR="003A01AD" w:rsidRPr="002B28E7" w:rsidRDefault="00336A31" w:rsidP="00D71E2C">
      <w:pPr>
        <w:pStyle w:val="Proposal"/>
        <w:numPr>
          <w:ilvl w:val="1"/>
          <w:numId w:val="19"/>
        </w:numPr>
        <w:spacing w:after="0"/>
      </w:pPr>
      <w:bookmarkStart w:id="7" w:name="_Toc7804505"/>
      <w:r w:rsidRPr="002B28E7">
        <w:t>A</w:t>
      </w:r>
      <w:r w:rsidR="003A01AD" w:rsidRPr="002B28E7">
        <w:t xml:space="preserve"> carrier consists of multiple LBT </w:t>
      </w:r>
      <w:r w:rsidR="00041F8A">
        <w:t>sub-bands</w:t>
      </w:r>
      <w:r w:rsidR="003A01AD" w:rsidRPr="002B28E7">
        <w:t>, each of bandwidth LBW</w:t>
      </w:r>
      <w:bookmarkEnd w:id="7"/>
    </w:p>
    <w:p w14:paraId="15B11937" w14:textId="46210781" w:rsidR="00F8543E" w:rsidRPr="002B28E7" w:rsidRDefault="00F8543E" w:rsidP="00F8543E">
      <w:pPr>
        <w:pStyle w:val="Proposal"/>
        <w:numPr>
          <w:ilvl w:val="0"/>
          <w:numId w:val="0"/>
        </w:numPr>
        <w:spacing w:after="0"/>
        <w:ind w:left="1701" w:hanging="1701"/>
      </w:pPr>
    </w:p>
    <w:p w14:paraId="6A3D1F3E" w14:textId="77777777" w:rsidR="00F8543E" w:rsidRPr="002B28E7" w:rsidRDefault="00F8543E" w:rsidP="00F8543E">
      <w:pPr>
        <w:pStyle w:val="BodyText"/>
      </w:pPr>
      <w:r w:rsidRPr="002B28E7">
        <w:t>For Wideband Mode 2, two agreements have been made in RAN1, one for the DL and one for the UL as follows:</w:t>
      </w:r>
    </w:p>
    <w:p w14:paraId="65CBECDA" w14:textId="5C4FE049" w:rsidR="00F8543E" w:rsidRPr="0071280B" w:rsidRDefault="00F8543E" w:rsidP="00F8543E">
      <w:pPr>
        <w:spacing w:after="0"/>
        <w:rPr>
          <w:rFonts w:ascii="Times New Roman" w:hAnsi="Times New Roman" w:cs="Times New Roman"/>
          <w:sz w:val="20"/>
          <w:szCs w:val="20"/>
          <w:lang w:eastAsia="x-none"/>
        </w:rPr>
      </w:pPr>
      <w:r w:rsidRPr="002B28E7">
        <w:t xml:space="preserve"> </w:t>
      </w:r>
      <w:r w:rsidR="00891464">
        <w:rPr>
          <w:rFonts w:ascii="Times New Roman" w:hAnsi="Times New Roman" w:cs="Times New Roman"/>
          <w:sz w:val="20"/>
          <w:szCs w:val="20"/>
          <w:highlight w:val="green"/>
          <w:lang w:eastAsia="x-none"/>
        </w:rPr>
        <w:t>DL A</w:t>
      </w:r>
      <w:r w:rsidRPr="0071280B">
        <w:rPr>
          <w:rFonts w:ascii="Times New Roman" w:hAnsi="Times New Roman" w:cs="Times New Roman"/>
          <w:sz w:val="20"/>
          <w:szCs w:val="20"/>
          <w:highlight w:val="green"/>
          <w:lang w:eastAsia="x-none"/>
        </w:rPr>
        <w:t>greement:</w:t>
      </w:r>
    </w:p>
    <w:p w14:paraId="5B4A4348" w14:textId="77777777" w:rsidR="00F8543E" w:rsidRPr="002B28E7" w:rsidRDefault="00F8543E" w:rsidP="00F8543E">
      <w:pPr>
        <w:numPr>
          <w:ilvl w:val="0"/>
          <w:numId w:val="13"/>
        </w:numPr>
        <w:spacing w:after="0" w:line="240" w:lineRule="auto"/>
        <w:ind w:left="8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For wideband operation in DL with a single serving cell operation within a carrier with bandwidth larger than 20 MHz</w:t>
      </w:r>
    </w:p>
    <w:p w14:paraId="4B040410" w14:textId="77777777" w:rsidR="00F8543E" w:rsidRPr="002B28E7" w:rsidRDefault="00F8543E" w:rsidP="00F8543E">
      <w:pPr>
        <w:numPr>
          <w:ilvl w:val="1"/>
          <w:numId w:val="13"/>
        </w:numPr>
        <w:spacing w:after="0" w:line="240" w:lineRule="auto"/>
        <w:ind w:left="12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 xml:space="preserve">Multiple BWPs can be configured, single BWP activated, </w:t>
      </w:r>
      <w:proofErr w:type="spellStart"/>
      <w:r w:rsidRPr="002B28E7">
        <w:rPr>
          <w:rFonts w:ascii="Times New Roman" w:hAnsi="Times New Roman" w:cs="Times New Roman"/>
          <w:sz w:val="20"/>
          <w:szCs w:val="20"/>
          <w:lang w:eastAsia="x-none"/>
        </w:rPr>
        <w:t>gNB</w:t>
      </w:r>
      <w:proofErr w:type="spellEnd"/>
      <w:r w:rsidRPr="002B28E7">
        <w:rPr>
          <w:rFonts w:ascii="Times New Roman" w:hAnsi="Times New Roman" w:cs="Times New Roman"/>
          <w:sz w:val="20"/>
          <w:szCs w:val="20"/>
          <w:lang w:eastAsia="x-none"/>
        </w:rPr>
        <w:t xml:space="preserve"> may transmit PDSCH on parts or whole of single active BWP where CCA is successful at </w:t>
      </w:r>
      <w:proofErr w:type="spellStart"/>
      <w:r w:rsidRPr="002B28E7">
        <w:rPr>
          <w:rFonts w:ascii="Times New Roman" w:hAnsi="Times New Roman" w:cs="Times New Roman"/>
          <w:sz w:val="20"/>
          <w:szCs w:val="20"/>
          <w:lang w:eastAsia="x-none"/>
        </w:rPr>
        <w:t>gNB</w:t>
      </w:r>
      <w:proofErr w:type="spellEnd"/>
      <w:r w:rsidRPr="002B28E7">
        <w:rPr>
          <w:rFonts w:ascii="Times New Roman" w:hAnsi="Times New Roman" w:cs="Times New Roman"/>
          <w:sz w:val="20"/>
          <w:szCs w:val="20"/>
          <w:lang w:eastAsia="x-none"/>
        </w:rPr>
        <w:t xml:space="preserve"> (i.e., option 2 and 3 from previous agreement)</w:t>
      </w:r>
    </w:p>
    <w:p w14:paraId="741CAAA8" w14:textId="77777777" w:rsidR="00F8543E" w:rsidRPr="002B28E7" w:rsidRDefault="00F8543E" w:rsidP="00F8543E">
      <w:pPr>
        <w:numPr>
          <w:ilvl w:val="2"/>
          <w:numId w:val="13"/>
        </w:numPr>
        <w:spacing w:after="0" w:line="240" w:lineRule="auto"/>
        <w:ind w:left="16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 xml:space="preserve">FFS: Restrictions on supportable gaps and combinations of gaps between </w:t>
      </w:r>
      <w:proofErr w:type="spellStart"/>
      <w:r w:rsidRPr="002B28E7">
        <w:rPr>
          <w:rFonts w:ascii="Times New Roman" w:hAnsi="Times New Roman" w:cs="Times New Roman"/>
          <w:sz w:val="20"/>
          <w:szCs w:val="20"/>
          <w:lang w:eastAsia="x-none"/>
        </w:rPr>
        <w:t>discontiguous</w:t>
      </w:r>
      <w:proofErr w:type="spellEnd"/>
      <w:r w:rsidRPr="002B28E7">
        <w:rPr>
          <w:rFonts w:ascii="Times New Roman" w:hAnsi="Times New Roman" w:cs="Times New Roman"/>
          <w:sz w:val="20"/>
          <w:szCs w:val="20"/>
          <w:lang w:eastAsia="x-none"/>
        </w:rPr>
        <w:t xml:space="preserve"> blocks where </w:t>
      </w:r>
    </w:p>
    <w:p w14:paraId="0ACBEEDD" w14:textId="77777777" w:rsidR="00F8543E" w:rsidRPr="002B28E7" w:rsidRDefault="00F8543E" w:rsidP="00F8543E">
      <w:pPr>
        <w:numPr>
          <w:ilvl w:val="3"/>
          <w:numId w:val="13"/>
        </w:numPr>
        <w:spacing w:after="0" w:line="240" w:lineRule="auto"/>
        <w:ind w:left="20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each block spans contiguous (one or) multiple successful LBT sub-bands</w:t>
      </w:r>
    </w:p>
    <w:p w14:paraId="4C974344" w14:textId="77777777" w:rsidR="00F8543E" w:rsidRPr="002B28E7" w:rsidRDefault="00F8543E" w:rsidP="00F8543E">
      <w:pPr>
        <w:numPr>
          <w:ilvl w:val="3"/>
          <w:numId w:val="13"/>
        </w:numPr>
        <w:spacing w:after="0" w:line="240" w:lineRule="auto"/>
        <w:ind w:left="20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lastRenderedPageBreak/>
        <w:t>each gap spans one or multiple contiguous unsuccessful LBT sub-bands</w:t>
      </w:r>
    </w:p>
    <w:p w14:paraId="61FC5D45" w14:textId="77777777" w:rsidR="00F8543E" w:rsidRPr="002B28E7" w:rsidRDefault="00F8543E" w:rsidP="00F8543E">
      <w:pPr>
        <w:numPr>
          <w:ilvl w:val="2"/>
          <w:numId w:val="13"/>
        </w:numPr>
        <w:spacing w:after="0" w:line="240" w:lineRule="auto"/>
        <w:ind w:left="16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29930A8B" w14:textId="77777777" w:rsidR="00F8543E" w:rsidRPr="002B28E7" w:rsidRDefault="00F8543E" w:rsidP="00F8543E">
      <w:pPr>
        <w:numPr>
          <w:ilvl w:val="2"/>
          <w:numId w:val="13"/>
        </w:numPr>
        <w:spacing w:after="0" w:line="240" w:lineRule="auto"/>
        <w:ind w:left="16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FFS: Limit on the occupied LBT sub-bands due to regulation and coexistence considerations (not intended to imply that regulation and coexistence considerations will not be addressed)</w:t>
      </w:r>
    </w:p>
    <w:p w14:paraId="09082E3F" w14:textId="77777777" w:rsidR="00F8543E" w:rsidRPr="002B28E7" w:rsidRDefault="00F8543E" w:rsidP="00F8543E">
      <w:pPr>
        <w:numPr>
          <w:ilvl w:val="2"/>
          <w:numId w:val="13"/>
        </w:numPr>
        <w:spacing w:after="0" w:line="240" w:lineRule="auto"/>
        <w:ind w:left="16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 xml:space="preserve">FFS: Whether/how to indicate </w:t>
      </w:r>
      <w:proofErr w:type="spellStart"/>
      <w:r w:rsidRPr="002B28E7">
        <w:rPr>
          <w:rFonts w:ascii="Times New Roman" w:hAnsi="Times New Roman" w:cs="Times New Roman"/>
          <w:sz w:val="20"/>
          <w:szCs w:val="20"/>
          <w:lang w:eastAsia="x-none"/>
        </w:rPr>
        <w:t>gNB’s</w:t>
      </w:r>
      <w:proofErr w:type="spellEnd"/>
      <w:r w:rsidRPr="002B28E7">
        <w:rPr>
          <w:rFonts w:ascii="Times New Roman" w:hAnsi="Times New Roman" w:cs="Times New Roman"/>
          <w:sz w:val="20"/>
          <w:szCs w:val="20"/>
          <w:lang w:eastAsia="x-none"/>
        </w:rPr>
        <w:t xml:space="preserve"> transmitted LBT sub-bands</w:t>
      </w:r>
    </w:p>
    <w:p w14:paraId="19E2DFC3" w14:textId="77777777" w:rsidR="00F8543E" w:rsidRPr="002B28E7" w:rsidRDefault="00F8543E" w:rsidP="00F8543E">
      <w:pPr>
        <w:numPr>
          <w:ilvl w:val="2"/>
          <w:numId w:val="13"/>
        </w:numPr>
        <w:spacing w:after="0" w:line="240" w:lineRule="auto"/>
        <w:ind w:left="16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 xml:space="preserve">FFS: Enhancements to PDCCH/PDSCH configuration/transmission for the parts of BWP where </w:t>
      </w:r>
      <w:proofErr w:type="spellStart"/>
      <w:r w:rsidRPr="002B28E7">
        <w:rPr>
          <w:rFonts w:ascii="Times New Roman" w:hAnsi="Times New Roman" w:cs="Times New Roman"/>
          <w:sz w:val="20"/>
          <w:szCs w:val="20"/>
          <w:lang w:eastAsia="x-none"/>
        </w:rPr>
        <w:t>gNB</w:t>
      </w:r>
      <w:proofErr w:type="spellEnd"/>
      <w:r w:rsidRPr="002B28E7">
        <w:rPr>
          <w:rFonts w:ascii="Times New Roman" w:hAnsi="Times New Roman" w:cs="Times New Roman"/>
          <w:sz w:val="20"/>
          <w:szCs w:val="20"/>
          <w:lang w:eastAsia="x-none"/>
        </w:rPr>
        <w:t xml:space="preserve"> does not transmit due to CCA failure</w:t>
      </w:r>
    </w:p>
    <w:p w14:paraId="2FAEEA26" w14:textId="77777777" w:rsidR="00F8543E" w:rsidRPr="002B28E7" w:rsidRDefault="00F8543E" w:rsidP="00F8543E">
      <w:pPr>
        <w:numPr>
          <w:ilvl w:val="0"/>
          <w:numId w:val="13"/>
        </w:numPr>
        <w:spacing w:after="0" w:line="240" w:lineRule="auto"/>
        <w:ind w:left="8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Send LS to RAN4 to inform above decision with the description that RAN1 requires RAN4’s feedback on the first three FFS parts in addition to what was requested in earlier LSs.</w:t>
      </w:r>
    </w:p>
    <w:p w14:paraId="7C29C65D" w14:textId="66CE58B5" w:rsidR="00F8543E" w:rsidRPr="002B28E7" w:rsidRDefault="00F8543E" w:rsidP="00F8543E">
      <w:pPr>
        <w:pStyle w:val="BodyText"/>
      </w:pPr>
    </w:p>
    <w:p w14:paraId="2379ADC4" w14:textId="0CEA8BDF" w:rsidR="00F8543E" w:rsidRPr="00F8543E" w:rsidRDefault="00891464" w:rsidP="00F8543E">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highlight w:val="green"/>
          <w:lang w:val="en-GB" w:eastAsia="x-none"/>
        </w:rPr>
        <w:t>UL A</w:t>
      </w:r>
      <w:r w:rsidR="00F8543E" w:rsidRPr="00F8543E">
        <w:rPr>
          <w:rFonts w:ascii="Times" w:eastAsia="Batang" w:hAnsi="Times" w:cs="Times New Roman"/>
          <w:sz w:val="20"/>
          <w:szCs w:val="24"/>
          <w:highlight w:val="green"/>
          <w:lang w:val="en-GB" w:eastAsia="x-none"/>
        </w:rPr>
        <w:t>greement:</w:t>
      </w:r>
    </w:p>
    <w:p w14:paraId="0E0BF9C5" w14:textId="77777777" w:rsidR="00F8543E" w:rsidRPr="002B28E7" w:rsidRDefault="00F8543E" w:rsidP="00F8543E">
      <w:pPr>
        <w:spacing w:after="0" w:line="240" w:lineRule="auto"/>
        <w:rPr>
          <w:rFonts w:ascii="Times" w:eastAsia="Batang" w:hAnsi="Times" w:cs="Times New Roman"/>
          <w:sz w:val="20"/>
          <w:szCs w:val="24"/>
          <w:lang w:eastAsia="x-none"/>
        </w:rPr>
      </w:pPr>
      <w:r w:rsidRPr="002B28E7">
        <w:rPr>
          <w:rFonts w:ascii="Times" w:eastAsia="Batang" w:hAnsi="Times" w:cs="Times New Roman"/>
          <w:sz w:val="20"/>
          <w:szCs w:val="24"/>
          <w:lang w:eastAsia="x-none"/>
        </w:rPr>
        <w:t>For UL transmissions in a serving cell with carrier bandwidth greater than LBT bandwidth, for the case where UE performs CCA before UL transmission, support at least Alt. 1 among the following alternatives</w:t>
      </w:r>
    </w:p>
    <w:p w14:paraId="7C79AB91" w14:textId="77777777" w:rsidR="00F8543E" w:rsidRPr="002B28E7" w:rsidRDefault="00F8543E" w:rsidP="00F8543E">
      <w:pPr>
        <w:numPr>
          <w:ilvl w:val="0"/>
          <w:numId w:val="30"/>
        </w:numPr>
        <w:spacing w:after="0" w:line="240" w:lineRule="auto"/>
        <w:ind w:left="360"/>
        <w:rPr>
          <w:rFonts w:ascii="Times" w:eastAsia="Batang" w:hAnsi="Times" w:cs="Times New Roman"/>
          <w:sz w:val="20"/>
          <w:szCs w:val="24"/>
          <w:lang w:eastAsia="x-none"/>
        </w:rPr>
      </w:pPr>
      <w:r w:rsidRPr="00F8543E">
        <w:rPr>
          <w:rFonts w:ascii="Times" w:eastAsia="Batang" w:hAnsi="Times" w:cs="Times New Roman"/>
          <w:sz w:val="20"/>
          <w:szCs w:val="24"/>
          <w:lang w:val="en-GB" w:eastAsia="x-none"/>
        </w:rPr>
        <w:t>Alt. 1: UE transmits the PUSCH only if CCA is successful at UE in all LBT bandwidths of the scheduled PUSCH.</w:t>
      </w:r>
    </w:p>
    <w:p w14:paraId="62B7D1EF" w14:textId="77777777" w:rsidR="00F8543E" w:rsidRPr="002B28E7" w:rsidRDefault="00F8543E" w:rsidP="00F8543E">
      <w:pPr>
        <w:numPr>
          <w:ilvl w:val="0"/>
          <w:numId w:val="29"/>
        </w:numPr>
        <w:spacing w:after="0" w:line="240" w:lineRule="auto"/>
        <w:ind w:left="360"/>
        <w:rPr>
          <w:rFonts w:ascii="Times" w:eastAsia="Batang" w:hAnsi="Times" w:cs="Times New Roman"/>
          <w:sz w:val="20"/>
          <w:szCs w:val="24"/>
          <w:lang w:eastAsia="x-none"/>
        </w:rPr>
      </w:pPr>
      <w:r w:rsidRPr="00F8543E">
        <w:rPr>
          <w:rFonts w:ascii="Times" w:eastAsia="Batang" w:hAnsi="Times" w:cs="Times New Roman"/>
          <w:sz w:val="20"/>
          <w:szCs w:val="24"/>
          <w:lang w:val="en-GB" w:eastAsia="x-none"/>
        </w:rPr>
        <w:t xml:space="preserve">Alt. 2: </w:t>
      </w:r>
      <w:r w:rsidRPr="00F8543E">
        <w:rPr>
          <w:rFonts w:ascii="Times" w:eastAsia="Batang" w:hAnsi="Times" w:cs="Times New Roman" w:hint="eastAsia"/>
          <w:bCs/>
          <w:sz w:val="20"/>
          <w:szCs w:val="24"/>
          <w:lang w:val="en-GB" w:eastAsia="x-none"/>
        </w:rPr>
        <w:t xml:space="preserve">UE transmits </w:t>
      </w:r>
      <w:r w:rsidRPr="00F8543E">
        <w:rPr>
          <w:rFonts w:ascii="Times" w:eastAsia="Batang" w:hAnsi="Times" w:cs="Times New Roman"/>
          <w:bCs/>
          <w:sz w:val="20"/>
          <w:szCs w:val="24"/>
          <w:lang w:val="en-GB" w:eastAsia="x-none"/>
        </w:rPr>
        <w:t xml:space="preserve">the PUSCH in all or a subset of LBT bandwidths of the scheduled PUSCH for which CCA is successful at the UE. </w:t>
      </w:r>
    </w:p>
    <w:p w14:paraId="40FDAC32" w14:textId="77777777" w:rsidR="00F8543E" w:rsidRPr="002B28E7" w:rsidRDefault="00F8543E" w:rsidP="00F8543E">
      <w:pPr>
        <w:numPr>
          <w:ilvl w:val="1"/>
          <w:numId w:val="29"/>
        </w:numPr>
        <w:spacing w:after="0" w:line="240" w:lineRule="auto"/>
        <w:ind w:left="1080"/>
        <w:rPr>
          <w:rFonts w:ascii="Times" w:eastAsia="Batang" w:hAnsi="Times" w:cs="Times New Roman"/>
          <w:sz w:val="20"/>
          <w:szCs w:val="24"/>
          <w:lang w:eastAsia="x-none"/>
        </w:rPr>
      </w:pPr>
      <w:r w:rsidRPr="002B28E7">
        <w:rPr>
          <w:rFonts w:ascii="Times" w:eastAsia="Batang" w:hAnsi="Times" w:cs="Times New Roman"/>
          <w:sz w:val="20"/>
          <w:szCs w:val="24"/>
          <w:lang w:eastAsia="x-none"/>
        </w:rPr>
        <w:t>Decision on whether this alternative is supported will depend on feedback from RAN4</w:t>
      </w:r>
    </w:p>
    <w:p w14:paraId="5EC3C2FE" w14:textId="77777777" w:rsidR="00F8543E" w:rsidRPr="002B28E7" w:rsidRDefault="00F8543E" w:rsidP="00F8543E">
      <w:pPr>
        <w:numPr>
          <w:ilvl w:val="1"/>
          <w:numId w:val="29"/>
        </w:numPr>
        <w:spacing w:after="0" w:line="240" w:lineRule="auto"/>
        <w:ind w:left="1080"/>
        <w:rPr>
          <w:rFonts w:ascii="Times" w:eastAsia="Batang" w:hAnsi="Times" w:cs="Times New Roman"/>
          <w:sz w:val="20"/>
          <w:szCs w:val="24"/>
          <w:lang w:eastAsia="x-none"/>
        </w:rPr>
      </w:pPr>
      <w:r w:rsidRPr="002B28E7">
        <w:rPr>
          <w:rFonts w:ascii="Times" w:eastAsia="Batang" w:hAnsi="Times" w:cs="Times New Roman" w:hint="eastAsia"/>
          <w:bCs/>
          <w:sz w:val="20"/>
          <w:szCs w:val="24"/>
          <w:lang w:eastAsia="x-none"/>
        </w:rPr>
        <w:t>F</w:t>
      </w:r>
      <w:r w:rsidRPr="002B28E7">
        <w:rPr>
          <w:rFonts w:ascii="Times" w:eastAsia="Batang" w:hAnsi="Times" w:cs="Times New Roman"/>
          <w:bCs/>
          <w:sz w:val="20"/>
          <w:szCs w:val="24"/>
          <w:lang w:eastAsia="x-none"/>
        </w:rPr>
        <w:t>FS on restrictions to the subset of LBT bandwidths, e.g., only contiguous LBT bandwidths allowed, based on feedback from RAN4</w:t>
      </w:r>
    </w:p>
    <w:p w14:paraId="171C7965" w14:textId="77777777" w:rsidR="00F8543E" w:rsidRPr="002B28E7" w:rsidRDefault="00F8543E" w:rsidP="00F8543E">
      <w:pPr>
        <w:numPr>
          <w:ilvl w:val="0"/>
          <w:numId w:val="31"/>
        </w:numPr>
        <w:spacing w:after="0" w:line="240" w:lineRule="auto"/>
        <w:rPr>
          <w:rFonts w:ascii="Times" w:eastAsia="Batang" w:hAnsi="Times" w:cs="Times New Roman"/>
          <w:sz w:val="20"/>
          <w:szCs w:val="24"/>
          <w:lang w:eastAsia="x-none"/>
        </w:rPr>
      </w:pPr>
      <w:r w:rsidRPr="002B28E7">
        <w:rPr>
          <w:rFonts w:ascii="Times" w:eastAsia="Batang" w:hAnsi="Times" w:cs="Times New Roman"/>
          <w:sz w:val="20"/>
          <w:szCs w:val="24"/>
          <w:lang w:eastAsia="x-none"/>
        </w:rPr>
        <w:t>Necessity of guard bands within the scheduled PUSCH should be determined by RAN4</w:t>
      </w:r>
    </w:p>
    <w:p w14:paraId="3A69D97B" w14:textId="77777777" w:rsidR="00F8543E" w:rsidRPr="002B28E7" w:rsidRDefault="00F8543E" w:rsidP="00F8543E">
      <w:pPr>
        <w:numPr>
          <w:ilvl w:val="0"/>
          <w:numId w:val="31"/>
        </w:numPr>
        <w:spacing w:after="0" w:line="240" w:lineRule="auto"/>
        <w:rPr>
          <w:rFonts w:ascii="Times" w:eastAsia="Batang" w:hAnsi="Times" w:cs="Times New Roman"/>
          <w:sz w:val="20"/>
          <w:szCs w:val="24"/>
          <w:lang w:eastAsia="x-none"/>
        </w:rPr>
      </w:pPr>
      <w:r w:rsidRPr="002B28E7">
        <w:rPr>
          <w:rFonts w:ascii="Times" w:eastAsia="Batang" w:hAnsi="Times" w:cs="Times New Roman"/>
          <w:sz w:val="20"/>
          <w:szCs w:val="24"/>
          <w:lang w:eastAsia="x-none"/>
        </w:rPr>
        <w:t>FFS: Whether this applies also to configured grant PUSCH</w:t>
      </w:r>
    </w:p>
    <w:p w14:paraId="09C90998" w14:textId="77777777" w:rsidR="00F8543E" w:rsidRPr="002B28E7" w:rsidRDefault="00F8543E" w:rsidP="00F8543E">
      <w:pPr>
        <w:numPr>
          <w:ilvl w:val="0"/>
          <w:numId w:val="31"/>
        </w:numPr>
        <w:spacing w:after="0" w:line="240" w:lineRule="auto"/>
        <w:rPr>
          <w:rFonts w:ascii="Times" w:eastAsia="Batang" w:hAnsi="Times" w:cs="Times New Roman"/>
          <w:sz w:val="20"/>
          <w:szCs w:val="24"/>
          <w:lang w:eastAsia="x-none"/>
        </w:rPr>
      </w:pPr>
      <w:r w:rsidRPr="002B28E7">
        <w:rPr>
          <w:rFonts w:ascii="Times" w:eastAsia="Batang" w:hAnsi="Times" w:cs="Times New Roman"/>
          <w:sz w:val="20"/>
          <w:szCs w:val="24"/>
          <w:lang w:eastAsia="x-none"/>
        </w:rPr>
        <w:t>FFS: Whether this applies also to PUCCH</w:t>
      </w:r>
    </w:p>
    <w:p w14:paraId="152E121D" w14:textId="0081D1C2" w:rsidR="00F8543E" w:rsidRPr="002B28E7" w:rsidRDefault="00F8543E" w:rsidP="00F8543E">
      <w:pPr>
        <w:pStyle w:val="BodyText"/>
      </w:pPr>
    </w:p>
    <w:p w14:paraId="4E27AC2B" w14:textId="0CA58789" w:rsidR="00F8543E" w:rsidRPr="002B28E7" w:rsidRDefault="00F8543E" w:rsidP="00F8543E">
      <w:pPr>
        <w:pStyle w:val="BodyText"/>
      </w:pPr>
      <w:r w:rsidRPr="002B28E7">
        <w:t xml:space="preserve">Both agreements allow for transmission/receptions on </w:t>
      </w:r>
      <w:r w:rsidRPr="002B28E7">
        <w:rPr>
          <w:i/>
        </w:rPr>
        <w:t>parts or whole</w:t>
      </w:r>
      <w:r w:rsidRPr="002B28E7">
        <w:t xml:space="preserve"> of the BWP of a wideband carrier depending on LBT outcome. For example, if an 80 MHz BWP is configured within a wideband carrier and LBW = 20 MHz, the carrier consists of 4 LBT </w:t>
      </w:r>
      <w:r w:rsidR="00041F8A">
        <w:t>sub-bands</w:t>
      </w:r>
      <w:r w:rsidRPr="002B28E7">
        <w:t xml:space="preserve">. In principle, any combination of 1, 2, 3, or 4 </w:t>
      </w:r>
      <w:r w:rsidR="00041F8A">
        <w:t>sub-bands</w:t>
      </w:r>
      <w:r w:rsidRPr="002B28E7">
        <w:t xml:space="preserve"> may be available depending on the LBT outcome. This is illustrated in </w:t>
      </w:r>
      <w:r>
        <w:fldChar w:fldCharType="begin"/>
      </w:r>
      <w:r w:rsidRPr="002B28E7">
        <w:instrText xml:space="preserve"> REF _Ref7708949 \h </w:instrText>
      </w:r>
      <w:r>
        <w:fldChar w:fldCharType="separate"/>
      </w:r>
      <w:r w:rsidR="00613F09" w:rsidRPr="002B28E7">
        <w:t xml:space="preserve">Figure </w:t>
      </w:r>
      <w:r w:rsidR="00613F09" w:rsidRPr="002B28E7">
        <w:rPr>
          <w:noProof/>
        </w:rPr>
        <w:t>1</w:t>
      </w:r>
      <w:r>
        <w:fldChar w:fldCharType="end"/>
      </w:r>
      <w:r w:rsidRPr="002B28E7">
        <w:t>.</w:t>
      </w:r>
      <w:r w:rsidR="00891464" w:rsidRPr="002B28E7">
        <w:t xml:space="preserve"> We refer to this type of operation as “Channel Puncturing,” since depending on LBT outcome some subset of 20 MHz </w:t>
      </w:r>
      <w:r w:rsidR="00041F8A">
        <w:t>sub-bands</w:t>
      </w:r>
      <w:r w:rsidR="00891464" w:rsidRPr="002B28E7">
        <w:t xml:space="preserve"> (corresponding to 20 MHz channels) are not available for transmission/reception, i.e., are punctured.</w:t>
      </w:r>
    </w:p>
    <w:p w14:paraId="50848925" w14:textId="078E244A" w:rsidR="00891464" w:rsidRPr="002B28E7" w:rsidRDefault="00891464" w:rsidP="00F8543E">
      <w:pPr>
        <w:pStyle w:val="BodyText"/>
      </w:pPr>
    </w:p>
    <w:p w14:paraId="6B46AA50" w14:textId="77777777" w:rsidR="00F8543E" w:rsidRDefault="00F8543E" w:rsidP="00F8543E">
      <w:pPr>
        <w:pStyle w:val="BodyText"/>
        <w:keepNext/>
        <w:jc w:val="left"/>
      </w:pPr>
      <w:r>
        <w:rPr>
          <w:noProof/>
        </w:rPr>
        <w:drawing>
          <wp:inline distT="0" distB="0" distL="0" distR="0" wp14:anchorId="632C973E" wp14:editId="40B301FC">
            <wp:extent cx="6400800" cy="2798064"/>
            <wp:effectExtent l="0" t="0" r="0" b="0"/>
            <wp:docPr id="3" name="Picture 3" descr="example LBT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LBT cas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0800" cy="2798064"/>
                    </a:xfrm>
                    <a:prstGeom prst="rect">
                      <a:avLst/>
                    </a:prstGeom>
                    <a:noFill/>
                    <a:ln>
                      <a:noFill/>
                    </a:ln>
                  </pic:spPr>
                </pic:pic>
              </a:graphicData>
            </a:graphic>
          </wp:inline>
        </w:drawing>
      </w:r>
    </w:p>
    <w:p w14:paraId="1100B501" w14:textId="1A1EEACC" w:rsidR="00F8543E" w:rsidRPr="002B28E7" w:rsidRDefault="00F8543E" w:rsidP="00F8543E">
      <w:pPr>
        <w:pStyle w:val="Caption"/>
        <w:spacing w:before="0"/>
        <w:jc w:val="center"/>
      </w:pPr>
      <w:bookmarkStart w:id="8" w:name="_Ref7708949"/>
      <w:r w:rsidRPr="002B28E7">
        <w:t xml:space="preserve">Figure </w:t>
      </w:r>
      <w:r>
        <w:rPr>
          <w:noProof/>
        </w:rPr>
        <w:fldChar w:fldCharType="begin"/>
      </w:r>
      <w:r w:rsidRPr="002B28E7">
        <w:rPr>
          <w:noProof/>
        </w:rPr>
        <w:instrText xml:space="preserve"> SEQ Figure \* ARABIC </w:instrText>
      </w:r>
      <w:r>
        <w:rPr>
          <w:noProof/>
        </w:rPr>
        <w:fldChar w:fldCharType="separate"/>
      </w:r>
      <w:r w:rsidR="009D452A">
        <w:rPr>
          <w:noProof/>
        </w:rPr>
        <w:t>1</w:t>
      </w:r>
      <w:r>
        <w:rPr>
          <w:noProof/>
        </w:rPr>
        <w:fldChar w:fldCharType="end"/>
      </w:r>
      <w:bookmarkEnd w:id="8"/>
      <w:r w:rsidRPr="002B28E7">
        <w:t>: Wideband Mode 2 for the case of a single 80 MHz carrier. Various channel puncturing scenarios based on LBT outcome are illustrated.</w:t>
      </w:r>
    </w:p>
    <w:p w14:paraId="0F6207C9" w14:textId="3ED16750" w:rsidR="00F8543E" w:rsidRPr="002B28E7" w:rsidRDefault="00F8543E" w:rsidP="00F8543E">
      <w:pPr>
        <w:pStyle w:val="BodyText"/>
      </w:pPr>
    </w:p>
    <w:p w14:paraId="1232569C" w14:textId="43A6336D" w:rsidR="00B20DDB" w:rsidRDefault="00B20DDB" w:rsidP="00B20DDB">
      <w:pPr>
        <w:pStyle w:val="Heading1"/>
      </w:pPr>
      <w:r>
        <w:lastRenderedPageBreak/>
        <w:t>2</w:t>
      </w:r>
      <w:r>
        <w:tab/>
      </w:r>
      <w:r w:rsidR="00D67979">
        <w:t>WB2</w:t>
      </w:r>
      <w:r w:rsidR="00E838E7">
        <w:t xml:space="preserve"> in</w:t>
      </w:r>
      <w:r w:rsidR="00ED44DC">
        <w:t xml:space="preserve"> Other Working Groups</w:t>
      </w:r>
      <w:r w:rsidR="00B379DC">
        <w:t xml:space="preserve"> </w:t>
      </w:r>
    </w:p>
    <w:p w14:paraId="0450AD3B" w14:textId="43C14370" w:rsidR="00ED44DC" w:rsidRDefault="00ED44DC" w:rsidP="00ED44DC">
      <w:pPr>
        <w:pStyle w:val="Heading2"/>
      </w:pPr>
      <w:r>
        <w:t>2.1</w:t>
      </w:r>
      <w:r>
        <w:tab/>
        <w:t>RAN4</w:t>
      </w:r>
    </w:p>
    <w:p w14:paraId="60BFED9E" w14:textId="26313487" w:rsidR="0071280B" w:rsidRPr="002B28E7" w:rsidRDefault="00B379DC" w:rsidP="0071280B">
      <w:pPr>
        <w:pStyle w:val="BodyText"/>
      </w:pPr>
      <w:r w:rsidRPr="002B28E7">
        <w:t xml:space="preserve">During the SI phase, RAN1 sent </w:t>
      </w:r>
      <w:proofErr w:type="gramStart"/>
      <w:r w:rsidRPr="002B28E7">
        <w:t>an</w:t>
      </w:r>
      <w:proofErr w:type="gramEnd"/>
      <w:r w:rsidRPr="002B28E7">
        <w:t xml:space="preserve"> LS to RAN4 </w:t>
      </w:r>
      <w:r w:rsidR="00EC5D3D">
        <w:fldChar w:fldCharType="begin"/>
      </w:r>
      <w:r w:rsidR="00EC5D3D" w:rsidRPr="002B28E7">
        <w:instrText xml:space="preserve"> REF _Ref4753619 \r \h </w:instrText>
      </w:r>
      <w:r w:rsidR="00EC5D3D">
        <w:fldChar w:fldCharType="separate"/>
      </w:r>
      <w:r w:rsidR="00613F09" w:rsidRPr="002B28E7">
        <w:t>[3]</w:t>
      </w:r>
      <w:r w:rsidR="00EC5D3D">
        <w:fldChar w:fldCharType="end"/>
      </w:r>
      <w:r w:rsidR="00EC5D3D" w:rsidRPr="002B28E7">
        <w:t xml:space="preserve"> </w:t>
      </w:r>
      <w:r w:rsidRPr="002B28E7">
        <w:t>ask</w:t>
      </w:r>
      <w:r w:rsidR="00EC5D3D" w:rsidRPr="002B28E7">
        <w:t>ing the basic question on whether or not new BS and UE RF requirements (over and above those for WB1) are needed</w:t>
      </w:r>
      <w:r w:rsidR="0071280B" w:rsidRPr="002B28E7">
        <w:t xml:space="preserve"> for WB2</w:t>
      </w:r>
      <w:r w:rsidR="00EC5D3D" w:rsidRPr="002B28E7">
        <w:t>. If new requirements are needed, then RAN1 asked about the feasibility of developing such requirements including:</w:t>
      </w:r>
    </w:p>
    <w:p w14:paraId="1AE6CF5A" w14:textId="6CA3821B" w:rsidR="00EC5D3D" w:rsidRPr="002B28E7" w:rsidRDefault="00EC5D3D" w:rsidP="00D71E2C">
      <w:pPr>
        <w:pStyle w:val="BodyText"/>
        <w:numPr>
          <w:ilvl w:val="0"/>
          <w:numId w:val="20"/>
        </w:numPr>
        <w:spacing w:after="0"/>
      </w:pPr>
      <w:r w:rsidRPr="002B28E7">
        <w:t>Contiguous vs. non-contiguous LBT sub-bands</w:t>
      </w:r>
    </w:p>
    <w:p w14:paraId="57C343C3" w14:textId="789ED4C7" w:rsidR="0071280B" w:rsidRPr="002B28E7" w:rsidRDefault="0071280B" w:rsidP="00D71E2C">
      <w:pPr>
        <w:pStyle w:val="BodyText"/>
        <w:numPr>
          <w:ilvl w:val="0"/>
          <w:numId w:val="20"/>
        </w:numPr>
        <w:spacing w:after="0"/>
      </w:pPr>
      <w:r w:rsidRPr="002B28E7">
        <w:t>Potential need for guard</w:t>
      </w:r>
      <w:r w:rsidR="00403CC6">
        <w:t xml:space="preserve"> </w:t>
      </w:r>
      <w:r w:rsidRPr="002B28E7">
        <w:t>bands for each LBT sub-band</w:t>
      </w:r>
    </w:p>
    <w:p w14:paraId="23F8EFD6" w14:textId="4B106025" w:rsidR="00EC5D3D" w:rsidRPr="002B28E7" w:rsidRDefault="00EC5D3D" w:rsidP="00D71E2C">
      <w:pPr>
        <w:pStyle w:val="BodyText"/>
        <w:numPr>
          <w:ilvl w:val="0"/>
          <w:numId w:val="20"/>
        </w:numPr>
        <w:spacing w:after="0"/>
      </w:pPr>
      <w:r w:rsidRPr="002B28E7">
        <w:t>RF filtering aspects, including filter adaptation and adaptation delay</w:t>
      </w:r>
    </w:p>
    <w:p w14:paraId="4E454E0C" w14:textId="77777777" w:rsidR="000A7245" w:rsidRPr="002B28E7" w:rsidRDefault="000A7245" w:rsidP="000A7245">
      <w:pPr>
        <w:pStyle w:val="BodyText"/>
        <w:spacing w:after="0"/>
      </w:pPr>
    </w:p>
    <w:p w14:paraId="5D854880" w14:textId="37DD7A35" w:rsidR="0071280B" w:rsidRPr="002B28E7" w:rsidRDefault="00EC5D3D" w:rsidP="00891464">
      <w:pPr>
        <w:pStyle w:val="BodyText"/>
      </w:pPr>
      <w:r w:rsidRPr="002B28E7">
        <w:t>In RAN1#AH1901, RAN4 replied</w:t>
      </w:r>
      <w:r w:rsidR="00613F09" w:rsidRPr="002B28E7">
        <w:t xml:space="preserve"> in </w:t>
      </w:r>
      <w:proofErr w:type="gramStart"/>
      <w:r w:rsidR="00613F09" w:rsidRPr="002B28E7">
        <w:t>an</w:t>
      </w:r>
      <w:proofErr w:type="gramEnd"/>
      <w:r w:rsidR="00613F09" w:rsidRPr="002B28E7">
        <w:t xml:space="preserve"> LS</w:t>
      </w:r>
      <w:r w:rsidRPr="002B28E7">
        <w:t xml:space="preserve"> </w:t>
      </w:r>
      <w:r w:rsidR="000E3353">
        <w:fldChar w:fldCharType="begin"/>
      </w:r>
      <w:r w:rsidR="000E3353" w:rsidRPr="002B28E7">
        <w:instrText xml:space="preserve"> REF _Ref4754607 \r \h </w:instrText>
      </w:r>
      <w:r w:rsidR="000E3353">
        <w:fldChar w:fldCharType="separate"/>
      </w:r>
      <w:r w:rsidR="00613F09" w:rsidRPr="002B28E7">
        <w:t>[4]</w:t>
      </w:r>
      <w:r w:rsidR="000E3353">
        <w:fldChar w:fldCharType="end"/>
      </w:r>
      <w:r w:rsidR="000E3353" w:rsidRPr="002B28E7">
        <w:t xml:space="preserve"> </w:t>
      </w:r>
      <w:r w:rsidRPr="002B28E7">
        <w:t>stating that</w:t>
      </w:r>
      <w:r w:rsidR="0071280B" w:rsidRPr="002B28E7">
        <w:t xml:space="preserve"> indeed, new requirements are needed such as in-carrier leakage and blocking and “out-of-BWP” (but still in-carrier) leakage requirements. RAN4 also replied that development of such requirements for non-contiguous LBT sub-bands would be challenging; however, transmissions spanning multiple contiguous LBT sub-bands can be specified. RAN4 indicated that guard bands for each LBT sub-band may or may not be needed. The LS reply indicates that </w:t>
      </w:r>
      <w:proofErr w:type="gramStart"/>
      <w:r w:rsidR="0071280B" w:rsidRPr="002B28E7">
        <w:t>all of</w:t>
      </w:r>
      <w:proofErr w:type="gramEnd"/>
      <w:r w:rsidR="0071280B" w:rsidRPr="002B28E7">
        <w:t xml:space="preserve"> these aspects will be studied in future meetings.</w:t>
      </w:r>
    </w:p>
    <w:p w14:paraId="1EB879D9" w14:textId="30240AF0" w:rsidR="0040744A" w:rsidRPr="002B28E7" w:rsidRDefault="0040744A" w:rsidP="008A1EE3">
      <w:pPr>
        <w:pStyle w:val="BodyText"/>
      </w:pPr>
      <w:r w:rsidRPr="002B28E7">
        <w:t xml:space="preserve">In RAN1#96b, RAN4 replied </w:t>
      </w:r>
      <w:r w:rsidR="00613F09" w:rsidRPr="002B28E7">
        <w:t>in</w:t>
      </w:r>
      <w:r w:rsidRPr="002B28E7">
        <w:t xml:space="preserve"> a 2</w:t>
      </w:r>
      <w:r w:rsidRPr="002B28E7">
        <w:rPr>
          <w:vertAlign w:val="superscript"/>
        </w:rPr>
        <w:t>nd</w:t>
      </w:r>
      <w:r w:rsidRPr="002B28E7">
        <w:t xml:space="preserve"> LS</w:t>
      </w:r>
      <w:r w:rsidR="00613F09" w:rsidRPr="002B28E7">
        <w:t xml:space="preserve"> </w:t>
      </w:r>
      <w:r>
        <w:fldChar w:fldCharType="begin"/>
      </w:r>
      <w:r w:rsidRPr="002B28E7">
        <w:instrText xml:space="preserve"> REF _Ref4755824 \r \h </w:instrText>
      </w:r>
      <w:r>
        <w:fldChar w:fldCharType="separate"/>
      </w:r>
      <w:r w:rsidR="00613F09" w:rsidRPr="002B28E7">
        <w:t>[5]</w:t>
      </w:r>
      <w:r>
        <w:fldChar w:fldCharType="end"/>
      </w:r>
      <w:r w:rsidRPr="002B28E7">
        <w:t xml:space="preserve"> that RF filtering will not be used </w:t>
      </w:r>
      <w:proofErr w:type="gramStart"/>
      <w:r w:rsidRPr="002B28E7">
        <w:t>for  transmission</w:t>
      </w:r>
      <w:proofErr w:type="gramEnd"/>
      <w:r w:rsidRPr="002B28E7">
        <w:t>/reception adaptation at both the BS and UE. The reply further states that RAN4 will study the feasibility of adapting baseband</w:t>
      </w:r>
      <w:r w:rsidR="00BB7014" w:rsidRPr="002B28E7">
        <w:t xml:space="preserve"> (digital)</w:t>
      </w:r>
      <w:r w:rsidRPr="002B28E7">
        <w:t xml:space="preserve"> filtering at both the BS transmitter and the UE receiver and that the feasibility depends on RF leakage and blocking requirements. It is stated that RAN4 will study the need for guard</w:t>
      </w:r>
      <w:r w:rsidR="00546F8C" w:rsidRPr="002B28E7">
        <w:t xml:space="preserve"> </w:t>
      </w:r>
      <w:r w:rsidRPr="002B28E7">
        <w:t>bands</w:t>
      </w:r>
      <w:r w:rsidR="00D71E2C" w:rsidRPr="002B28E7">
        <w:t xml:space="preserve"> between contiguous LBT sub-bands once the LBT outcome is known to the UE.</w:t>
      </w:r>
    </w:p>
    <w:p w14:paraId="18CFFB9D" w14:textId="32944F9A" w:rsidR="007D7B85" w:rsidRDefault="00891464" w:rsidP="008A1EE3">
      <w:pPr>
        <w:pStyle w:val="BodyText"/>
      </w:pPr>
      <w:r w:rsidRPr="002B28E7">
        <w:t xml:space="preserve">In RAN1#97, RAN4 replied </w:t>
      </w:r>
      <w:r w:rsidR="00613F09" w:rsidRPr="002B28E7">
        <w:t>in</w:t>
      </w:r>
      <w:r w:rsidRPr="002B28E7">
        <w:t xml:space="preserve"> a 3</w:t>
      </w:r>
      <w:r w:rsidRPr="002B28E7">
        <w:rPr>
          <w:vertAlign w:val="superscript"/>
        </w:rPr>
        <w:t>rd</w:t>
      </w:r>
      <w:r w:rsidR="00613F09" w:rsidRPr="002B28E7">
        <w:rPr>
          <w:vertAlign w:val="superscript"/>
        </w:rPr>
        <w:t xml:space="preserve"> </w:t>
      </w:r>
      <w:r w:rsidR="00613F09" w:rsidRPr="002B28E7">
        <w:t>LS</w:t>
      </w:r>
      <w:r w:rsidRPr="002B28E7">
        <w:t xml:space="preserve"> </w:t>
      </w:r>
      <w:r w:rsidR="003A28B8">
        <w:fldChar w:fldCharType="begin"/>
      </w:r>
      <w:r w:rsidR="003A28B8" w:rsidRPr="002B28E7">
        <w:instrText xml:space="preserve"> REF _Ref7709648 \r \h </w:instrText>
      </w:r>
      <w:r w:rsidR="003A28B8">
        <w:fldChar w:fldCharType="separate"/>
      </w:r>
      <w:r w:rsidR="00613F09" w:rsidRPr="002B28E7">
        <w:t>[6]</w:t>
      </w:r>
      <w:r w:rsidR="003A28B8">
        <w:fldChar w:fldCharType="end"/>
      </w:r>
      <w:r w:rsidR="00E0402C" w:rsidRPr="002B28E7">
        <w:t xml:space="preserve"> </w:t>
      </w:r>
      <w:r w:rsidR="00613F09" w:rsidRPr="002B28E7">
        <w:t>on</w:t>
      </w:r>
      <w:r w:rsidR="00E0402C" w:rsidRPr="002B28E7">
        <w:t xml:space="preserve"> the feasibility </w:t>
      </w:r>
      <w:r w:rsidR="00756367" w:rsidRPr="002B28E7">
        <w:t>of Wideband Mode 2</w:t>
      </w:r>
      <w:r w:rsidR="00172C7A" w:rsidRPr="002B28E7">
        <w:t xml:space="preserve"> for the downlink</w:t>
      </w:r>
      <w:r w:rsidR="00613F09" w:rsidRPr="002B28E7">
        <w:t>.</w:t>
      </w:r>
      <w:r w:rsidR="00172C7A" w:rsidRPr="002B28E7">
        <w:t xml:space="preserve"> </w:t>
      </w:r>
      <w:r w:rsidR="00756367">
        <w:t>Three sub-modes are defined</w:t>
      </w:r>
      <w:r w:rsidR="00613F09">
        <w:t xml:space="preserve"> in the LS:</w:t>
      </w:r>
    </w:p>
    <w:p w14:paraId="4AAB5FCB" w14:textId="76D486E9" w:rsidR="00756367" w:rsidRPr="002B28E7" w:rsidRDefault="00756367" w:rsidP="00172C7A">
      <w:pPr>
        <w:pStyle w:val="BodyText"/>
        <w:numPr>
          <w:ilvl w:val="0"/>
          <w:numId w:val="32"/>
        </w:numPr>
        <w:spacing w:after="0"/>
      </w:pPr>
      <w:r w:rsidRPr="002B28E7">
        <w:t>Mode 2-1: LBT successful in all LBT sub-bands</w:t>
      </w:r>
    </w:p>
    <w:p w14:paraId="52488511" w14:textId="1916D6ED" w:rsidR="00756367" w:rsidRDefault="00756367" w:rsidP="00172C7A">
      <w:pPr>
        <w:pStyle w:val="BodyText"/>
        <w:numPr>
          <w:ilvl w:val="1"/>
          <w:numId w:val="32"/>
        </w:numPr>
        <w:spacing w:after="0"/>
      </w:pPr>
      <w:r>
        <w:t>Feasible</w:t>
      </w:r>
    </w:p>
    <w:p w14:paraId="1C3FF9B2" w14:textId="2909446E" w:rsidR="00756367" w:rsidRPr="002B28E7" w:rsidRDefault="00756367" w:rsidP="00172C7A">
      <w:pPr>
        <w:pStyle w:val="BodyText"/>
        <w:numPr>
          <w:ilvl w:val="1"/>
          <w:numId w:val="32"/>
        </w:numPr>
        <w:spacing w:after="0"/>
      </w:pPr>
      <w:r w:rsidRPr="002B28E7">
        <w:t xml:space="preserve">FFS on </w:t>
      </w:r>
      <w:proofErr w:type="gramStart"/>
      <w:r w:rsidRPr="002B28E7">
        <w:t>whether or not</w:t>
      </w:r>
      <w:proofErr w:type="gramEnd"/>
      <w:r w:rsidRPr="002B28E7">
        <w:t xml:space="preserve"> guard</w:t>
      </w:r>
      <w:r w:rsidR="00403CC6">
        <w:t xml:space="preserve"> </w:t>
      </w:r>
      <w:r w:rsidRPr="002B28E7">
        <w:t>bands are needed</w:t>
      </w:r>
    </w:p>
    <w:p w14:paraId="7CD99CBF" w14:textId="3FBDB9DF" w:rsidR="00756367" w:rsidRPr="002B28E7" w:rsidRDefault="00756367" w:rsidP="00172C7A">
      <w:pPr>
        <w:pStyle w:val="BodyText"/>
        <w:numPr>
          <w:ilvl w:val="0"/>
          <w:numId w:val="32"/>
        </w:numPr>
        <w:spacing w:after="0"/>
      </w:pPr>
      <w:r w:rsidRPr="002B28E7">
        <w:t xml:space="preserve">Mode 2-2: LBT successful in a subset of </w:t>
      </w:r>
      <w:r w:rsidR="00041F8A">
        <w:t>sub-bands</w:t>
      </w:r>
      <w:r w:rsidRPr="002B28E7">
        <w:t xml:space="preserve"> which are contiguous</w:t>
      </w:r>
    </w:p>
    <w:p w14:paraId="19DF68DB" w14:textId="16B8BF84" w:rsidR="00756367" w:rsidRPr="002B28E7" w:rsidRDefault="00756367" w:rsidP="00172C7A">
      <w:pPr>
        <w:pStyle w:val="BodyText"/>
        <w:numPr>
          <w:ilvl w:val="1"/>
          <w:numId w:val="32"/>
        </w:numPr>
        <w:spacing w:after="0"/>
      </w:pPr>
      <w:r w:rsidRPr="002B28E7">
        <w:t xml:space="preserve">Feasible </w:t>
      </w:r>
      <w:r w:rsidR="00172C7A" w:rsidRPr="002B28E7">
        <w:t>at least if the guard</w:t>
      </w:r>
      <w:r w:rsidR="00403CC6">
        <w:t xml:space="preserve"> </w:t>
      </w:r>
      <w:r w:rsidR="00172C7A" w:rsidRPr="002B28E7">
        <w:t xml:space="preserve">band within two contiguous </w:t>
      </w:r>
      <w:r w:rsidR="00041F8A">
        <w:t>sub-bands</w:t>
      </w:r>
      <w:r w:rsidR="00172C7A" w:rsidRPr="002B28E7">
        <w:t xml:space="preserve"> is not scheduled and </w:t>
      </w:r>
      <w:proofErr w:type="spellStart"/>
      <w:r w:rsidR="00172C7A" w:rsidRPr="002B28E7">
        <w:t>WiFi</w:t>
      </w:r>
      <w:proofErr w:type="spellEnd"/>
      <w:r w:rsidR="00172C7A" w:rsidRPr="002B28E7">
        <w:t xml:space="preserve">-like requirements (20 </w:t>
      </w:r>
      <w:proofErr w:type="spellStart"/>
      <w:r w:rsidR="00172C7A" w:rsidRPr="002B28E7">
        <w:t>dBr</w:t>
      </w:r>
      <w:proofErr w:type="spellEnd"/>
      <w:r w:rsidR="00172C7A" w:rsidRPr="002B28E7">
        <w:t xml:space="preserve">) are adopted for in-carrier leakage </w:t>
      </w:r>
    </w:p>
    <w:p w14:paraId="69EC9062" w14:textId="268B7024" w:rsidR="00756367" w:rsidRPr="002B28E7" w:rsidRDefault="00756367" w:rsidP="00172C7A">
      <w:pPr>
        <w:pStyle w:val="BodyText"/>
        <w:numPr>
          <w:ilvl w:val="0"/>
          <w:numId w:val="32"/>
        </w:numPr>
        <w:spacing w:after="0"/>
      </w:pPr>
      <w:r w:rsidRPr="002B28E7">
        <w:t xml:space="preserve">Mode 2-3: LBT successful in a subset of </w:t>
      </w:r>
      <w:r w:rsidR="00041F8A">
        <w:t>sub-bands</w:t>
      </w:r>
      <w:r w:rsidRPr="002B28E7">
        <w:t xml:space="preserve"> which are non-contiguous</w:t>
      </w:r>
    </w:p>
    <w:p w14:paraId="26776F5B" w14:textId="062E68C6" w:rsidR="00172C7A" w:rsidRPr="002B28E7" w:rsidRDefault="00172C7A" w:rsidP="00172C7A">
      <w:pPr>
        <w:pStyle w:val="BodyText"/>
        <w:numPr>
          <w:ilvl w:val="1"/>
          <w:numId w:val="32"/>
        </w:numPr>
        <w:spacing w:after="0"/>
      </w:pPr>
      <w:r w:rsidRPr="002B28E7">
        <w:t>Feasible at least if guard</w:t>
      </w:r>
      <w:r w:rsidR="00403CC6">
        <w:t xml:space="preserve"> </w:t>
      </w:r>
      <w:r w:rsidRPr="002B28E7">
        <w:t xml:space="preserve">bands within two contiguous </w:t>
      </w:r>
      <w:r w:rsidR="00041F8A">
        <w:t>sub-bands</w:t>
      </w:r>
      <w:r w:rsidRPr="002B28E7">
        <w:t xml:space="preserve"> is not scheduled and </w:t>
      </w:r>
      <w:proofErr w:type="spellStart"/>
      <w:r w:rsidRPr="002B28E7">
        <w:t>WiFi</w:t>
      </w:r>
      <w:proofErr w:type="spellEnd"/>
      <w:r w:rsidRPr="002B28E7">
        <w:t xml:space="preserve">-like requirements (20 </w:t>
      </w:r>
      <w:proofErr w:type="spellStart"/>
      <w:r w:rsidRPr="002B28E7">
        <w:t>dBr</w:t>
      </w:r>
      <w:proofErr w:type="spellEnd"/>
      <w:r w:rsidRPr="002B28E7">
        <w:t>) are adopted for in-carrier leakage</w:t>
      </w:r>
    </w:p>
    <w:p w14:paraId="10FCAE61" w14:textId="48BA8BD1" w:rsidR="00172C7A" w:rsidRPr="002B28E7" w:rsidRDefault="00172C7A" w:rsidP="00172C7A">
      <w:pPr>
        <w:pStyle w:val="BodyText"/>
        <w:spacing w:after="0"/>
      </w:pPr>
    </w:p>
    <w:p w14:paraId="52FF63D1" w14:textId="41590DD6" w:rsidR="00D67979" w:rsidRPr="002B28E7" w:rsidRDefault="00172C7A" w:rsidP="00172C7A">
      <w:pPr>
        <w:pStyle w:val="BodyText"/>
      </w:pPr>
      <w:r w:rsidRPr="002B28E7">
        <w:t xml:space="preserve">For all three sub-modes, it is FFS </w:t>
      </w:r>
      <w:proofErr w:type="gramStart"/>
      <w:r w:rsidRPr="002B28E7">
        <w:t>whether or not</w:t>
      </w:r>
      <w:proofErr w:type="gramEnd"/>
      <w:r w:rsidRPr="002B28E7">
        <w:t xml:space="preserve"> </w:t>
      </w:r>
      <w:proofErr w:type="spellStart"/>
      <w:r w:rsidRPr="002B28E7">
        <w:t>WiFi</w:t>
      </w:r>
      <w:proofErr w:type="spellEnd"/>
      <w:r w:rsidRPr="002B28E7">
        <w:t>-like requirements meet regional regulatory requirements, e.g., ETSI-BRAN</w:t>
      </w:r>
      <w:r w:rsidR="00D67979" w:rsidRPr="002B28E7">
        <w:t xml:space="preserve">. Furthermore, </w:t>
      </w:r>
      <w:r w:rsidRPr="002B28E7">
        <w:t>if the guard</w:t>
      </w:r>
      <w:r w:rsidR="00403CC6">
        <w:t xml:space="preserve"> </w:t>
      </w:r>
      <w:r w:rsidRPr="002B28E7">
        <w:t xml:space="preserve">bands are scheduled, </w:t>
      </w:r>
      <w:r w:rsidR="00D67979" w:rsidRPr="002B28E7">
        <w:t xml:space="preserve">it is FFS </w:t>
      </w:r>
      <w:r w:rsidRPr="002B28E7">
        <w:t>what filter adaptation time is required.</w:t>
      </w:r>
    </w:p>
    <w:p w14:paraId="5CF193CA" w14:textId="04866DB5" w:rsidR="00D67979" w:rsidRPr="002B28E7" w:rsidRDefault="00613F09" w:rsidP="00D67979">
      <w:pPr>
        <w:pStyle w:val="Observation"/>
      </w:pPr>
      <w:bookmarkStart w:id="9" w:name="_Toc7804493"/>
      <w:r w:rsidRPr="002B28E7">
        <w:t xml:space="preserve">The feasibility of </w:t>
      </w:r>
      <w:r w:rsidR="00CA0922" w:rsidRPr="002B28E7">
        <w:t xml:space="preserve">WB2 (Modes 2&amp;3) </w:t>
      </w:r>
      <w:r w:rsidR="00076742" w:rsidRPr="002B28E7">
        <w:t>is dependent on</w:t>
      </w:r>
      <w:r w:rsidR="00D67979" w:rsidRPr="002B28E7">
        <w:t xml:space="preserve"> guard</w:t>
      </w:r>
      <w:r w:rsidR="00403CC6">
        <w:t xml:space="preserve"> </w:t>
      </w:r>
      <w:r w:rsidR="00D67979" w:rsidRPr="002B28E7">
        <w:t xml:space="preserve">bands not </w:t>
      </w:r>
      <w:r w:rsidR="00076742" w:rsidRPr="002B28E7">
        <w:t xml:space="preserve">being </w:t>
      </w:r>
      <w:r w:rsidR="00D67979" w:rsidRPr="002B28E7">
        <w:t xml:space="preserve">scheduled and relaxed RF requirements for in-carrier leakage </w:t>
      </w:r>
      <w:r w:rsidR="00403CC6">
        <w:t>being</w:t>
      </w:r>
      <w:r w:rsidR="00D67979" w:rsidRPr="002B28E7">
        <w:t xml:space="preserve"> defined, e.g., 20 </w:t>
      </w:r>
      <w:proofErr w:type="spellStart"/>
      <w:r w:rsidR="00D67979" w:rsidRPr="002B28E7">
        <w:t>dBr</w:t>
      </w:r>
      <w:proofErr w:type="spellEnd"/>
      <w:r w:rsidR="00D67979" w:rsidRPr="002B28E7">
        <w:t xml:space="preserve"> Wi-Fi like requirements</w:t>
      </w:r>
      <w:r w:rsidRPr="002B28E7">
        <w:t>.</w:t>
      </w:r>
      <w:bookmarkEnd w:id="9"/>
    </w:p>
    <w:p w14:paraId="19D1487D" w14:textId="4E454758" w:rsidR="007D7B85" w:rsidRDefault="00ED44DC" w:rsidP="00ED44DC">
      <w:pPr>
        <w:pStyle w:val="Heading2"/>
      </w:pPr>
      <w:r>
        <w:t>2.2</w:t>
      </w:r>
      <w:r w:rsidR="007D7B85">
        <w:tab/>
      </w:r>
      <w:r>
        <w:t>RAN2</w:t>
      </w:r>
    </w:p>
    <w:p w14:paraId="39ED59A2" w14:textId="1B491B1A" w:rsidR="00D726A9" w:rsidRPr="002B28E7" w:rsidRDefault="007D7B85" w:rsidP="008A1EE3">
      <w:pPr>
        <w:pStyle w:val="BodyText"/>
      </w:pPr>
      <w:r w:rsidRPr="002B28E7">
        <w:t xml:space="preserve">In the first RAN1 LS (see </w:t>
      </w:r>
      <w:r>
        <w:fldChar w:fldCharType="begin"/>
      </w:r>
      <w:r w:rsidRPr="002B28E7">
        <w:instrText xml:space="preserve"> REF _Ref525666947 \r \h </w:instrText>
      </w:r>
      <w:r>
        <w:fldChar w:fldCharType="separate"/>
      </w:r>
      <w:r w:rsidR="00613F09" w:rsidRPr="002B28E7">
        <w:t>[3]</w:t>
      </w:r>
      <w:r>
        <w:fldChar w:fldCharType="end"/>
      </w:r>
      <w:r w:rsidRPr="002B28E7">
        <w:t xml:space="preserve">), RAN1 asked RAN2 to </w:t>
      </w:r>
      <w:proofErr w:type="gramStart"/>
      <w:r w:rsidRPr="002B28E7">
        <w:t>take into account</w:t>
      </w:r>
      <w:proofErr w:type="gramEnd"/>
      <w:r w:rsidRPr="002B28E7">
        <w:t xml:space="preserve"> the agreement on WB2 operation in their further work from an L2 protocol perspective; however, a reply LS has not been sent</w:t>
      </w:r>
      <w:r w:rsidR="00AA0230" w:rsidRPr="002B28E7">
        <w:t xml:space="preserve"> yet. In </w:t>
      </w:r>
      <w:r w:rsidR="000C35BD">
        <w:fldChar w:fldCharType="begin"/>
      </w:r>
      <w:r w:rsidR="000C35BD" w:rsidRPr="002B28E7">
        <w:instrText xml:space="preserve"> REF _Ref4760194 \r \h </w:instrText>
      </w:r>
      <w:r w:rsidR="000C35BD">
        <w:fldChar w:fldCharType="separate"/>
      </w:r>
      <w:r w:rsidR="00613F09" w:rsidRPr="002B28E7">
        <w:t>[7]</w:t>
      </w:r>
      <w:r w:rsidR="000C35BD">
        <w:fldChar w:fldCharType="end"/>
      </w:r>
      <w:r w:rsidR="00AA0230" w:rsidRPr="002B28E7">
        <w:t xml:space="preserve">, some of the impacts on WB2 operation from an L2 protocol perspective are </w:t>
      </w:r>
      <w:r w:rsidR="00AA0230" w:rsidRPr="002B28E7">
        <w:lastRenderedPageBreak/>
        <w:t xml:space="preserve">discussed. It is observed that </w:t>
      </w:r>
      <w:r w:rsidR="00D726A9" w:rsidRPr="002B28E7">
        <w:t>if sub-band specific (WB2) operation is specified in RAN1, it may require that LBT sub-bands become visible at the MAC and RRC protocol layers, e.g., with respect to at least PRACH configuration, RACH functionality, scheduling and HARQ</w:t>
      </w:r>
      <w:r w:rsidR="00ED44DC" w:rsidRPr="002B28E7">
        <w:t xml:space="preserve"> operation</w:t>
      </w:r>
      <w:r w:rsidR="00D726A9" w:rsidRPr="002B28E7">
        <w:t>.</w:t>
      </w:r>
    </w:p>
    <w:p w14:paraId="1537D2B6" w14:textId="51E624B2" w:rsidR="00D726A9" w:rsidRPr="002B28E7" w:rsidRDefault="00D726A9" w:rsidP="00ED44DC">
      <w:pPr>
        <w:pStyle w:val="Observation"/>
      </w:pPr>
      <w:bookmarkStart w:id="10" w:name="_Toc7804494"/>
      <w:r w:rsidRPr="002B28E7">
        <w:t>WB2 operation may have a non-</w:t>
      </w:r>
      <w:r w:rsidR="00ED44DC" w:rsidRPr="002B28E7">
        <w:t>trivial</w:t>
      </w:r>
      <w:r w:rsidRPr="002B28E7">
        <w:t xml:space="preserve"> impact on MAC layer procedures and RRC signaling</w:t>
      </w:r>
      <w:r w:rsidR="00ED44DC" w:rsidRPr="002B28E7">
        <w:t>.</w:t>
      </w:r>
      <w:bookmarkEnd w:id="10"/>
    </w:p>
    <w:p w14:paraId="4B1D1A4D" w14:textId="45DB178B" w:rsidR="00951F55" w:rsidRPr="002B28E7" w:rsidRDefault="00ED44DC" w:rsidP="008A1EE3">
      <w:pPr>
        <w:pStyle w:val="BodyText"/>
      </w:pPr>
      <w:r w:rsidRPr="002B28E7">
        <w:t>While not impossible to specify, such impact puts at risk timely completion of the Rel-16 NR-U work item</w:t>
      </w:r>
      <w:r w:rsidR="00CE6AA4">
        <w:t xml:space="preserve"> for marginal benefits</w:t>
      </w:r>
      <w:r w:rsidRPr="002B28E7">
        <w:t>.</w:t>
      </w:r>
    </w:p>
    <w:p w14:paraId="36B1AB89" w14:textId="36855166" w:rsidR="00D67979" w:rsidRDefault="00ED44DC" w:rsidP="00B20DDB">
      <w:pPr>
        <w:pStyle w:val="Heading1"/>
      </w:pPr>
      <w:r>
        <w:t>3</w:t>
      </w:r>
      <w:r w:rsidR="00B20DDB">
        <w:tab/>
      </w:r>
      <w:r w:rsidR="00D67979">
        <w:t>Aspects of WB2 Operation</w:t>
      </w:r>
    </w:p>
    <w:p w14:paraId="0AEC28AE" w14:textId="3844A9E4" w:rsidR="00ED44DC" w:rsidRDefault="00ED44DC" w:rsidP="00ED44DC">
      <w:pPr>
        <w:pStyle w:val="Heading2"/>
      </w:pPr>
      <w:r>
        <w:t>3.1</w:t>
      </w:r>
      <w:r>
        <w:tab/>
        <w:t>Spectral Utilization (SU)</w:t>
      </w:r>
    </w:p>
    <w:p w14:paraId="7E591C58" w14:textId="39D73AC2" w:rsidR="000C35BD" w:rsidRDefault="000C35BD" w:rsidP="000C35BD">
      <w:pPr>
        <w:pStyle w:val="BodyText"/>
      </w:pPr>
      <w:r w:rsidRPr="002B28E7">
        <w:t>One of the claimed advantages of WB2 compared to WB1 was a gain in spectral utilization; however, this claim was built on the assumption that the guard</w:t>
      </w:r>
      <w:r w:rsidR="00CE6AA4">
        <w:t xml:space="preserve"> </w:t>
      </w:r>
      <w:r w:rsidRPr="002B28E7">
        <w:t>bands between contiguous LBT sub-bands of a wideband carrier can be scheduled, unlike for CA of an equivalent number of carriers in WB1. However, based on the most recent LS from RAN4, WB2 is feasible if the guard</w:t>
      </w:r>
      <w:r w:rsidR="00CE6AA4">
        <w:t xml:space="preserve"> </w:t>
      </w:r>
      <w:r w:rsidRPr="002B28E7">
        <w:t>bands are not scheduled.</w:t>
      </w:r>
      <w:r w:rsidR="00951F55" w:rsidRPr="002B28E7">
        <w:t xml:space="preserve"> Even if after a filter adaptation delay, the guard</w:t>
      </w:r>
      <w:r w:rsidR="00CE6AA4">
        <w:t xml:space="preserve"> </w:t>
      </w:r>
      <w:r w:rsidR="00951F55" w:rsidRPr="002B28E7">
        <w:t>bands could be scheduled, the same thing could be done for CA in WB1 for the guard</w:t>
      </w:r>
      <w:r w:rsidR="00CE6AA4">
        <w:t xml:space="preserve"> </w:t>
      </w:r>
      <w:r w:rsidR="00951F55" w:rsidRPr="002B28E7">
        <w:t xml:space="preserve">band between two contiguous carriers. </w:t>
      </w:r>
      <w:r>
        <w:t xml:space="preserve">Hence, the claimed spectral utilization benefit </w:t>
      </w:r>
      <w:r w:rsidR="00951F55">
        <w:t xml:space="preserve">of WB2 </w:t>
      </w:r>
      <w:r>
        <w:t>vanishes.</w:t>
      </w:r>
    </w:p>
    <w:p w14:paraId="109D08C8" w14:textId="74FC4DC9" w:rsidR="000C35BD" w:rsidRPr="002B28E7" w:rsidRDefault="000C35BD" w:rsidP="000C35BD">
      <w:pPr>
        <w:pStyle w:val="Observation"/>
      </w:pPr>
      <w:bookmarkStart w:id="11" w:name="_Toc7804495"/>
      <w:r w:rsidRPr="002B28E7">
        <w:t xml:space="preserve">Based on the LS reply from RAN4 in </w:t>
      </w:r>
      <w:r>
        <w:fldChar w:fldCharType="begin"/>
      </w:r>
      <w:r w:rsidRPr="002B28E7">
        <w:instrText xml:space="preserve"> REF _Ref7709648 \r \h </w:instrText>
      </w:r>
      <w:r>
        <w:fldChar w:fldCharType="separate"/>
      </w:r>
      <w:r w:rsidR="00613F09" w:rsidRPr="002B28E7">
        <w:t>[6]</w:t>
      </w:r>
      <w:r>
        <w:fldChar w:fldCharType="end"/>
      </w:r>
      <w:r w:rsidRPr="002B28E7">
        <w:t>, the gain in spectral utilization for WB2 compared to WB1 is zero.</w:t>
      </w:r>
      <w:bookmarkEnd w:id="11"/>
    </w:p>
    <w:p w14:paraId="6A21E692" w14:textId="7E8AEB19" w:rsidR="00CA0922" w:rsidRDefault="00CA0922" w:rsidP="00CA0922">
      <w:pPr>
        <w:pStyle w:val="Heading2"/>
        <w:rPr>
          <w:rStyle w:val="IvDbodytextChar"/>
        </w:rPr>
      </w:pPr>
      <w:r>
        <w:rPr>
          <w:rStyle w:val="IvDbodytextChar"/>
        </w:rPr>
        <w:t>3.</w:t>
      </w:r>
      <w:r w:rsidR="00114814">
        <w:rPr>
          <w:rStyle w:val="IvDbodytextChar"/>
        </w:rPr>
        <w:t>2</w:t>
      </w:r>
      <w:r>
        <w:rPr>
          <w:rStyle w:val="IvDbodytextChar"/>
        </w:rPr>
        <w:tab/>
        <w:t>Relaxed RF Requirements</w:t>
      </w:r>
    </w:p>
    <w:p w14:paraId="579F95E9" w14:textId="4C309563" w:rsidR="000B4CC1" w:rsidRDefault="00CA0922" w:rsidP="00CA0922">
      <w:pPr>
        <w:pStyle w:val="BodyText"/>
      </w:pPr>
      <w:r w:rsidRPr="002B28E7">
        <w:t xml:space="preserve">As </w:t>
      </w:r>
      <w:r w:rsidR="007F14FF" w:rsidRPr="002B28E7">
        <w:t>observed above, feasibility of WB2</w:t>
      </w:r>
      <w:r w:rsidRPr="002B28E7">
        <w:t xml:space="preserve"> </w:t>
      </w:r>
      <w:r w:rsidR="007F14FF" w:rsidRPr="002B28E7">
        <w:t>for the case when</w:t>
      </w:r>
      <w:r w:rsidRPr="002B28E7">
        <w:t xml:space="preserve"> CCA is successful in a subset of LBT sub-bands is </w:t>
      </w:r>
      <w:r w:rsidR="007F14FF" w:rsidRPr="002B28E7">
        <w:t xml:space="preserve">conditioned on avoiding scheduling in </w:t>
      </w:r>
      <w:r w:rsidRPr="002B28E7">
        <w:t>the guard</w:t>
      </w:r>
      <w:r w:rsidR="00CE6AA4">
        <w:t xml:space="preserve"> </w:t>
      </w:r>
      <w:r w:rsidRPr="002B28E7">
        <w:t xml:space="preserve">bands </w:t>
      </w:r>
      <w:r w:rsidR="007F14FF" w:rsidRPr="002B28E7">
        <w:t>as well as adopting</w:t>
      </w:r>
      <w:r w:rsidRPr="002B28E7">
        <w:t xml:space="preserve"> relaxed Wi-Fi like requirements (20 </w:t>
      </w:r>
      <w:proofErr w:type="spellStart"/>
      <w:r w:rsidRPr="002B28E7">
        <w:t>dBr</w:t>
      </w:r>
      <w:proofErr w:type="spellEnd"/>
      <w:r w:rsidRPr="002B28E7">
        <w:t xml:space="preserve">). Such relaxed requirements are discussed in </w:t>
      </w:r>
      <w:r w:rsidR="00C008D6">
        <w:fldChar w:fldCharType="begin"/>
      </w:r>
      <w:r w:rsidR="00C008D6" w:rsidRPr="002B28E7">
        <w:instrText xml:space="preserve"> REF _Ref7716718 \r \h </w:instrText>
      </w:r>
      <w:r w:rsidR="00C008D6">
        <w:fldChar w:fldCharType="separate"/>
      </w:r>
      <w:r w:rsidR="00C008D6" w:rsidRPr="002B28E7">
        <w:t>[8]</w:t>
      </w:r>
      <w:r w:rsidR="00C008D6">
        <w:fldChar w:fldCharType="end"/>
      </w:r>
      <w:r w:rsidR="00C008D6" w:rsidRPr="002B28E7">
        <w:t>, where it is observed that maintaining LTE-LAA adjacent channel requirements within an NR-U wideband carrier is not possible only with baseband filtering, even if there are guard</w:t>
      </w:r>
      <w:r w:rsidR="00FA3750">
        <w:t xml:space="preserve"> </w:t>
      </w:r>
      <w:r w:rsidR="00C008D6" w:rsidRPr="002B28E7">
        <w:t xml:space="preserve">bands between used and unused RBs. Hence, it is proposed </w:t>
      </w:r>
      <w:r w:rsidR="00FA3750" w:rsidRPr="002B28E7">
        <w:t xml:space="preserve">in </w:t>
      </w:r>
      <w:r w:rsidR="00FA3750">
        <w:fldChar w:fldCharType="begin"/>
      </w:r>
      <w:r w:rsidR="00FA3750" w:rsidRPr="002B28E7">
        <w:instrText xml:space="preserve"> REF _Ref7716718 \r \h </w:instrText>
      </w:r>
      <w:r w:rsidR="00FA3750">
        <w:fldChar w:fldCharType="separate"/>
      </w:r>
      <w:r w:rsidR="00FA3750" w:rsidRPr="002B28E7">
        <w:t>[8]</w:t>
      </w:r>
      <w:r w:rsidR="00FA3750">
        <w:fldChar w:fldCharType="end"/>
      </w:r>
      <w:r w:rsidR="00FA3750">
        <w:t xml:space="preserve"> </w:t>
      </w:r>
      <w:r w:rsidR="00C008D6" w:rsidRPr="002B28E7">
        <w:t xml:space="preserve">that NR-U adopts the </w:t>
      </w:r>
      <w:r w:rsidR="00270E64">
        <w:t xml:space="preserve">spectral emission masks for Wi-Fi preamble puncturing </w:t>
      </w:r>
      <w:r w:rsidR="00C008D6" w:rsidRPr="002B28E7">
        <w:t xml:space="preserve">shown in </w:t>
      </w:r>
      <w:r w:rsidR="000B4CC1">
        <w:fldChar w:fldCharType="begin"/>
      </w:r>
      <w:r w:rsidR="000B4CC1" w:rsidRPr="002B28E7">
        <w:instrText xml:space="preserve"> REF _Ref7717132 \h </w:instrText>
      </w:r>
      <w:r w:rsidR="000B4CC1">
        <w:fldChar w:fldCharType="separate"/>
      </w:r>
      <w:r w:rsidR="000B4CC1" w:rsidRPr="002B28E7">
        <w:t xml:space="preserve">Figure </w:t>
      </w:r>
      <w:r w:rsidR="000B4CC1" w:rsidRPr="002B28E7">
        <w:rPr>
          <w:noProof/>
        </w:rPr>
        <w:t>2</w:t>
      </w:r>
      <w:r w:rsidR="000B4CC1">
        <w:fldChar w:fldCharType="end"/>
      </w:r>
      <w:r w:rsidR="000B4CC1" w:rsidRPr="002B28E7">
        <w:t xml:space="preserve"> for defining in-carrier leakage requirements.</w:t>
      </w:r>
      <w:r w:rsidR="002F271F">
        <w:t xml:space="preserve"> Together, these</w:t>
      </w:r>
      <w:r w:rsidR="000F7419">
        <w:t xml:space="preserve"> two</w:t>
      </w:r>
      <w:r w:rsidR="002F271F">
        <w:t xml:space="preserve"> masks </w:t>
      </w:r>
      <w:r w:rsidR="009D452A">
        <w:t>would define</w:t>
      </w:r>
      <w:r w:rsidR="002F271F">
        <w:t xml:space="preserve"> the maximum spectral emission levels for the internal and edge </w:t>
      </w:r>
      <w:r w:rsidR="00270E64">
        <w:t xml:space="preserve">LBT </w:t>
      </w:r>
      <w:r w:rsidR="002F271F">
        <w:t xml:space="preserve">sub-bands </w:t>
      </w:r>
      <w:r w:rsidR="00A51C84">
        <w:t xml:space="preserve">within a BWP </w:t>
      </w:r>
      <w:r w:rsidR="009D452A">
        <w:t xml:space="preserve">when </w:t>
      </w:r>
      <w:proofErr w:type="gramStart"/>
      <w:r w:rsidR="009D452A">
        <w:t>a number of</w:t>
      </w:r>
      <w:proofErr w:type="gramEnd"/>
      <w:r w:rsidR="009D452A">
        <w:t xml:space="preserve"> 20 MHz </w:t>
      </w:r>
      <w:r w:rsidR="00A51C84">
        <w:t>channels</w:t>
      </w:r>
      <w:r w:rsidR="002F271F">
        <w:t xml:space="preserve"> are punctured. For both the internal and edge sub-bands, the masks define </w:t>
      </w:r>
      <w:r w:rsidR="000B4CC1" w:rsidRPr="002B28E7">
        <w:t xml:space="preserve">a </w:t>
      </w:r>
      <w:r w:rsidR="00327AB2">
        <w:t>guard</w:t>
      </w:r>
      <w:r w:rsidR="000B4CC1" w:rsidRPr="002B28E7">
        <w:t xml:space="preserve"> of 0.5 MHz (approximately 1.4 PRBs for 30 kHz SCS)</w:t>
      </w:r>
      <w:r w:rsidR="002F271F">
        <w:t>.</w:t>
      </w:r>
      <w:r w:rsidR="009D452A">
        <w:t xml:space="preserve"> The value </w:t>
      </w:r>
      <w:r w:rsidR="009D452A" w:rsidRPr="009D452A">
        <w:rPr>
          <w:i/>
        </w:rPr>
        <w:t>N</w:t>
      </w:r>
      <w:r w:rsidR="009D452A">
        <w:t xml:space="preserve"> in each of the two masks represents a set of contiguous 20 MHz channels that are punctured either internally or at the edge, respectively.</w:t>
      </w:r>
    </w:p>
    <w:p w14:paraId="343F9CCC" w14:textId="69A5DD68" w:rsidR="003C08E3" w:rsidRDefault="00A51C84" w:rsidP="003C08E3">
      <w:pPr>
        <w:pStyle w:val="BodyText"/>
      </w:pPr>
      <w:r>
        <w:t xml:space="preserve">It is instructive to compare these masks to the spectral emission mask defined in the latest </w:t>
      </w:r>
      <w:r w:rsidR="003C08E3">
        <w:t>version of the ETSI BRAN harmonized standard EN 301 893 v2.1.1</w:t>
      </w:r>
      <w:r w:rsidR="00E9666F">
        <w:t xml:space="preserve"> shown in </w:t>
      </w:r>
      <w:r w:rsidR="003C08E3">
        <w:fldChar w:fldCharType="begin"/>
      </w:r>
      <w:r w:rsidR="003C08E3">
        <w:instrText xml:space="preserve"> REF _Ref7776200 \h </w:instrText>
      </w:r>
      <w:r w:rsidR="003C08E3">
        <w:fldChar w:fldCharType="separate"/>
      </w:r>
      <w:r w:rsidR="003C08E3">
        <w:t xml:space="preserve">Figure </w:t>
      </w:r>
      <w:r w:rsidR="003C08E3">
        <w:rPr>
          <w:noProof/>
        </w:rPr>
        <w:t>3</w:t>
      </w:r>
      <w:r w:rsidR="003C08E3">
        <w:fldChar w:fldCharType="end"/>
      </w:r>
      <w:r w:rsidR="003C08E3">
        <w:t xml:space="preserve">. </w:t>
      </w:r>
      <w:r w:rsidR="00E9666F">
        <w:t>It is important to note that i</w:t>
      </w:r>
      <w:r w:rsidR="003C08E3">
        <w:t xml:space="preserve">n </w:t>
      </w:r>
      <w:r w:rsidR="003C08E3">
        <w:fldChar w:fldCharType="begin"/>
      </w:r>
      <w:r w:rsidR="003C08E3">
        <w:instrText xml:space="preserve"> REF _Ref7776200 \h </w:instrText>
      </w:r>
      <w:r w:rsidR="003C08E3">
        <w:fldChar w:fldCharType="separate"/>
      </w:r>
      <w:r w:rsidR="003C08E3">
        <w:t xml:space="preserve">Figure </w:t>
      </w:r>
      <w:r w:rsidR="003C08E3">
        <w:rPr>
          <w:noProof/>
        </w:rPr>
        <w:t>3</w:t>
      </w:r>
      <w:r w:rsidR="003C08E3">
        <w:fldChar w:fldCharType="end"/>
      </w:r>
      <w:r w:rsidR="003C08E3">
        <w:t xml:space="preserve">, </w:t>
      </w:r>
      <w:r w:rsidR="003C08E3" w:rsidRPr="004A0F0C">
        <w:rPr>
          <w:i/>
        </w:rPr>
        <w:t>N</w:t>
      </w:r>
      <w:r w:rsidR="003C08E3">
        <w:t xml:space="preserve"> is defined as the nominal channel bandwidth</w:t>
      </w:r>
      <w:r w:rsidR="00E9666F">
        <w:t xml:space="preserve"> which is different than the </w:t>
      </w:r>
      <w:r w:rsidR="003C08E3" w:rsidRPr="004A0F0C">
        <w:rPr>
          <w:i/>
        </w:rPr>
        <w:t>N</w:t>
      </w:r>
      <w:r w:rsidR="003C08E3">
        <w:t xml:space="preserve"> in </w:t>
      </w:r>
      <w:r w:rsidR="003C08E3">
        <w:fldChar w:fldCharType="begin"/>
      </w:r>
      <w:r w:rsidR="003C08E3">
        <w:instrText xml:space="preserve"> REF _Ref7717132 \h </w:instrText>
      </w:r>
      <w:r w:rsidR="003C08E3">
        <w:fldChar w:fldCharType="separate"/>
      </w:r>
      <w:r w:rsidR="003C08E3" w:rsidRPr="002B28E7">
        <w:t xml:space="preserve">Figure </w:t>
      </w:r>
      <w:r w:rsidR="003C08E3">
        <w:rPr>
          <w:noProof/>
        </w:rPr>
        <w:t>2</w:t>
      </w:r>
      <w:r w:rsidR="003C08E3">
        <w:fldChar w:fldCharType="end"/>
      </w:r>
      <w:r w:rsidR="003C08E3">
        <w:t>, where it represents the number of contiguous punctured channels.</w:t>
      </w:r>
    </w:p>
    <w:p w14:paraId="1A7922FA" w14:textId="77777777" w:rsidR="003C08E3" w:rsidRPr="002B28E7" w:rsidRDefault="003C08E3" w:rsidP="00CA0922">
      <w:pPr>
        <w:pStyle w:val="BodyText"/>
      </w:pPr>
    </w:p>
    <w:p w14:paraId="7C60CBDE" w14:textId="4A4DA452" w:rsidR="00C008D6" w:rsidRDefault="00A2263E" w:rsidP="00C008D6">
      <w:pPr>
        <w:pStyle w:val="BodyText"/>
        <w:keepNext/>
        <w:jc w:val="center"/>
      </w:pPr>
      <w:r>
        <w:rPr>
          <w:rFonts w:ascii="Times New Roman" w:eastAsia="Times New Roman" w:hAnsi="Times New Roman" w:cs="Times New Roman"/>
          <w:sz w:val="20"/>
          <w:szCs w:val="20"/>
          <w:lang w:val="en-GB"/>
        </w:rPr>
        <w:object w:dxaOrig="8955" w:dyaOrig="4620" w14:anchorId="14C04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176.55pt" o:ole="">
            <v:imagedata r:id="rId12" o:title=""/>
          </v:shape>
          <o:OLEObject Type="Embed" ProgID="Visio.Drawing.11" ShapeID="_x0000_i1025" DrawAspect="Content" ObjectID="_1618420952" r:id="rId13"/>
        </w:object>
      </w:r>
    </w:p>
    <w:p w14:paraId="3C50CBAF" w14:textId="4123825F" w:rsidR="00327AB2" w:rsidRDefault="00327AB2" w:rsidP="00327AB2">
      <w:pPr>
        <w:pStyle w:val="BodyText"/>
        <w:jc w:val="center"/>
      </w:pPr>
      <w:r>
        <w:rPr>
          <w:noProof/>
        </w:rPr>
        <w:drawing>
          <wp:inline distT="0" distB="0" distL="0" distR="0" wp14:anchorId="30E0DA4F" wp14:editId="0026B728">
            <wp:extent cx="4295140" cy="2219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5140" cy="2219325"/>
                    </a:xfrm>
                    <a:prstGeom prst="rect">
                      <a:avLst/>
                    </a:prstGeom>
                    <a:noFill/>
                  </pic:spPr>
                </pic:pic>
              </a:graphicData>
            </a:graphic>
          </wp:inline>
        </w:drawing>
      </w:r>
    </w:p>
    <w:p w14:paraId="4117D1A4" w14:textId="137D08AF" w:rsidR="00327AB2" w:rsidRDefault="00327AB2" w:rsidP="00327AB2">
      <w:pPr>
        <w:pStyle w:val="Caption"/>
        <w:jc w:val="center"/>
      </w:pPr>
      <w:bookmarkStart w:id="12" w:name="_Ref7717132"/>
      <w:r w:rsidRPr="002B28E7">
        <w:t xml:space="preserve">Figure </w:t>
      </w:r>
      <w:r>
        <w:rPr>
          <w:noProof/>
        </w:rPr>
        <w:fldChar w:fldCharType="begin"/>
      </w:r>
      <w:r w:rsidRPr="002B28E7">
        <w:rPr>
          <w:noProof/>
        </w:rPr>
        <w:instrText xml:space="preserve"> SEQ Figure \* ARABIC </w:instrText>
      </w:r>
      <w:r>
        <w:rPr>
          <w:noProof/>
        </w:rPr>
        <w:fldChar w:fldCharType="separate"/>
      </w:r>
      <w:r w:rsidR="009D452A">
        <w:rPr>
          <w:noProof/>
        </w:rPr>
        <w:t>2</w:t>
      </w:r>
      <w:r>
        <w:rPr>
          <w:noProof/>
        </w:rPr>
        <w:fldChar w:fldCharType="end"/>
      </w:r>
      <w:bookmarkEnd w:id="12"/>
      <w:r w:rsidRPr="002B28E7">
        <w:t xml:space="preserve">: </w:t>
      </w:r>
      <w:r w:rsidR="002F271F">
        <w:t xml:space="preserve">Spectral emission masks for Wi-Fi preamble puncturing where N is the number of </w:t>
      </w:r>
      <w:r w:rsidR="004A0F0C">
        <w:t xml:space="preserve">contiguous </w:t>
      </w:r>
      <w:r w:rsidR="002F271F">
        <w:t xml:space="preserve">punctured 20 MHz channels </w:t>
      </w:r>
      <w:r w:rsidRPr="002B28E7">
        <w:t xml:space="preserve">(source: </w:t>
      </w:r>
      <w:r>
        <w:fldChar w:fldCharType="begin"/>
      </w:r>
      <w:r w:rsidRPr="002B28E7">
        <w:instrText xml:space="preserve"> REF _Ref7716718 \r \h </w:instrText>
      </w:r>
      <w:r>
        <w:fldChar w:fldCharType="separate"/>
      </w:r>
      <w:r w:rsidRPr="002B28E7">
        <w:t>[8]</w:t>
      </w:r>
      <w:r>
        <w:fldChar w:fldCharType="end"/>
      </w:r>
      <w:r w:rsidRPr="002B28E7">
        <w:t>)</w:t>
      </w:r>
    </w:p>
    <w:p w14:paraId="1ED78C4C" w14:textId="77777777" w:rsidR="003C08E3" w:rsidRPr="003C08E3" w:rsidRDefault="003C08E3" w:rsidP="003C08E3">
      <w:pPr>
        <w:rPr>
          <w:lang w:eastAsia="en-GB"/>
        </w:rPr>
      </w:pPr>
    </w:p>
    <w:p w14:paraId="58B51E15" w14:textId="67ED27B3" w:rsidR="00A2263E" w:rsidRPr="00704305" w:rsidRDefault="00A2263E" w:rsidP="00A2263E">
      <w:pPr>
        <w:keepNext/>
        <w:keepLines/>
        <w:overflowPunct w:val="0"/>
        <w:autoSpaceDE w:val="0"/>
        <w:autoSpaceDN w:val="0"/>
        <w:adjustRightInd w:val="0"/>
        <w:spacing w:before="60" w:after="180"/>
        <w:ind w:left="432"/>
        <w:jc w:val="center"/>
        <w:textAlignment w:val="baseline"/>
        <w:rPr>
          <w:rFonts w:ascii="Arial" w:eastAsia="Times New Roman" w:hAnsi="Arial"/>
          <w:b/>
        </w:rPr>
      </w:pPr>
      <w:r w:rsidRPr="00704305">
        <w:rPr>
          <w:rFonts w:ascii="Arial" w:eastAsia="Times New Roman" w:hAnsi="Arial"/>
          <w:b/>
          <w:noProof/>
        </w:rPr>
        <w:drawing>
          <wp:inline distT="0" distB="0" distL="0" distR="0" wp14:anchorId="384629AF" wp14:editId="752B057E">
            <wp:extent cx="5064981" cy="2672826"/>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4847" cy="2678033"/>
                    </a:xfrm>
                    <a:prstGeom prst="rect">
                      <a:avLst/>
                    </a:prstGeom>
                    <a:noFill/>
                    <a:ln>
                      <a:noFill/>
                    </a:ln>
                  </pic:spPr>
                </pic:pic>
              </a:graphicData>
            </a:graphic>
          </wp:inline>
        </w:drawing>
      </w:r>
    </w:p>
    <w:p w14:paraId="183AD67D" w14:textId="5D7F11CB" w:rsidR="004A0F0C" w:rsidRDefault="00A2263E" w:rsidP="003C08E3">
      <w:pPr>
        <w:pStyle w:val="Caption"/>
        <w:jc w:val="center"/>
      </w:pPr>
      <w:bookmarkStart w:id="13" w:name="_Ref7776200"/>
      <w:r>
        <w:t xml:space="preserve">Figure </w:t>
      </w:r>
      <w:r w:rsidR="0016143D">
        <w:rPr>
          <w:noProof/>
        </w:rPr>
        <w:fldChar w:fldCharType="begin"/>
      </w:r>
      <w:r w:rsidR="0016143D">
        <w:rPr>
          <w:noProof/>
        </w:rPr>
        <w:instrText xml:space="preserve"> SEQ Figure \* ARABIC </w:instrText>
      </w:r>
      <w:r w:rsidR="0016143D">
        <w:rPr>
          <w:noProof/>
        </w:rPr>
        <w:fldChar w:fldCharType="separate"/>
      </w:r>
      <w:r w:rsidR="009D452A">
        <w:rPr>
          <w:noProof/>
        </w:rPr>
        <w:t>3</w:t>
      </w:r>
      <w:r w:rsidR="0016143D">
        <w:rPr>
          <w:noProof/>
        </w:rPr>
        <w:fldChar w:fldCharType="end"/>
      </w:r>
      <w:bookmarkEnd w:id="13"/>
      <w:r>
        <w:t xml:space="preserve">: </w:t>
      </w:r>
      <w:r w:rsidRPr="00A2263E">
        <w:t>Transmit spectral emission mask</w:t>
      </w:r>
      <w:r>
        <w:t xml:space="preserve"> from the </w:t>
      </w:r>
      <w:r w:rsidR="008B53DA">
        <w:t xml:space="preserve">latest version of the </w:t>
      </w:r>
      <w:r>
        <w:t>ETSI BRAN Har</w:t>
      </w:r>
      <w:r w:rsidR="008B53DA">
        <w:t>monized standard EN 301 893 v2.1.1</w:t>
      </w:r>
    </w:p>
    <w:p w14:paraId="3772D3BD" w14:textId="77777777" w:rsidR="003C08E3" w:rsidRDefault="003C08E3" w:rsidP="004A0F0C">
      <w:pPr>
        <w:pStyle w:val="BodyText"/>
      </w:pPr>
    </w:p>
    <w:p w14:paraId="542D7FEF" w14:textId="75B34F82" w:rsidR="000F7419" w:rsidRDefault="00BA0EE2" w:rsidP="004A0F0C">
      <w:pPr>
        <w:pStyle w:val="BodyText"/>
      </w:pPr>
      <w:r>
        <w:lastRenderedPageBreak/>
        <w:t xml:space="preserve">Section 4.2.4.2.2 of the harmonized standard </w:t>
      </w:r>
      <w:r w:rsidR="00E6719F">
        <w:t xml:space="preserve">EN 301 893 v2.1.1 </w:t>
      </w:r>
      <w:r w:rsidR="00A51C84">
        <w:t>provides</w:t>
      </w:r>
      <w:r w:rsidR="000F7419">
        <w:t xml:space="preserve"> the following procedure for constructing the overall transmission mask for the case that shall be satisfied for a combination of contiguous and non-contiguous 20 MHz transmissions:</w:t>
      </w:r>
    </w:p>
    <w:p w14:paraId="4D2DC8DE" w14:textId="77777777" w:rsidR="00BA0EE2" w:rsidRPr="00BA0EE2" w:rsidRDefault="00BA0EE2" w:rsidP="00BA0EE2">
      <w:pPr>
        <w:pStyle w:val="BodyText"/>
        <w:ind w:left="567"/>
        <w:rPr>
          <w:rFonts w:ascii="Times New Roman" w:hAnsi="Times New Roman" w:cs="Times New Roman"/>
        </w:rPr>
      </w:pPr>
      <w:r w:rsidRPr="00BA0EE2">
        <w:rPr>
          <w:rFonts w:ascii="Times New Roman" w:hAnsi="Times New Roman" w:cs="Times New Roman"/>
        </w:rPr>
        <w:t xml:space="preserve">For transmitter unwanted emissions within the 5 GHz RLAN bands, </w:t>
      </w:r>
      <w:r w:rsidRPr="00BA0EE2">
        <w:rPr>
          <w:rFonts w:ascii="Times New Roman" w:hAnsi="Times New Roman" w:cs="Times New Roman"/>
          <w:highlight w:val="yellow"/>
        </w:rPr>
        <w:t>simultaneous transmissions in adjacent channels</w:t>
      </w:r>
      <w:r w:rsidRPr="00BA0EE2">
        <w:rPr>
          <w:rFonts w:ascii="Times New Roman" w:hAnsi="Times New Roman" w:cs="Times New Roman"/>
        </w:rPr>
        <w:t xml:space="preserve"> may be considered as one signal with an actual </w:t>
      </w:r>
      <w:r w:rsidRPr="00BA0EE2">
        <w:rPr>
          <w:rFonts w:ascii="Times New Roman" w:hAnsi="Times New Roman" w:cs="Times New Roman"/>
          <w:i/>
        </w:rPr>
        <w:t>Nominal Channel Bandwidth</w:t>
      </w:r>
      <w:r w:rsidRPr="00BA0EE2">
        <w:rPr>
          <w:rFonts w:ascii="Times New Roman" w:hAnsi="Times New Roman" w:cs="Times New Roman"/>
        </w:rPr>
        <w:t xml:space="preserve"> of "n" times the individual </w:t>
      </w:r>
      <w:r w:rsidRPr="00BA0EE2">
        <w:rPr>
          <w:rFonts w:ascii="Times New Roman" w:hAnsi="Times New Roman" w:cs="Times New Roman"/>
          <w:i/>
        </w:rPr>
        <w:t>Nominal Channel Bandwidth</w:t>
      </w:r>
      <w:r w:rsidRPr="00BA0EE2">
        <w:rPr>
          <w:rFonts w:ascii="Times New Roman" w:hAnsi="Times New Roman" w:cs="Times New Roman"/>
        </w:rPr>
        <w:t xml:space="preserve"> where "n" is the number of adjacent channels used simultaneously.</w:t>
      </w:r>
    </w:p>
    <w:p w14:paraId="15F291BF" w14:textId="1A6C70BD" w:rsidR="00BA0EE2" w:rsidRPr="00BA0EE2" w:rsidRDefault="00BA0EE2" w:rsidP="00BA0EE2">
      <w:pPr>
        <w:pStyle w:val="BodyText"/>
        <w:ind w:left="567"/>
        <w:rPr>
          <w:rFonts w:ascii="Times New Roman" w:hAnsi="Times New Roman" w:cs="Times New Roman"/>
        </w:rPr>
      </w:pPr>
      <w:r w:rsidRPr="00BA0EE2">
        <w:rPr>
          <w:rFonts w:ascii="Times New Roman" w:hAnsi="Times New Roman" w:cs="Times New Roman"/>
        </w:rPr>
        <w:t xml:space="preserve">For </w:t>
      </w:r>
      <w:r w:rsidRPr="00BA0EE2">
        <w:rPr>
          <w:rFonts w:ascii="Times New Roman" w:hAnsi="Times New Roman" w:cs="Times New Roman"/>
          <w:highlight w:val="yellow"/>
        </w:rPr>
        <w:t>simultaneous transmissions in multiple non-adjacent channels</w:t>
      </w:r>
      <w:r w:rsidRPr="00BA0EE2">
        <w:rPr>
          <w:rFonts w:ascii="Times New Roman" w:hAnsi="Times New Roman" w:cs="Times New Roman"/>
        </w:rPr>
        <w:t>, the overall transmit spectral power mask is constructed in the following manner. First, a mask as provided in figure 1 is applied to each of the channels. Then, for each frequency point, the greatest value from the spectral masks of all the channels assessed shall be taken as the overall spectral mask requirement at that frequency.</w:t>
      </w:r>
    </w:p>
    <w:p w14:paraId="78BFAD93" w14:textId="4052B04E" w:rsidR="00A51C84" w:rsidRDefault="00A51C84" w:rsidP="00A51C84">
      <w:pPr>
        <w:pStyle w:val="BodyText"/>
      </w:pPr>
      <w:proofErr w:type="gramStart"/>
      <w:r>
        <w:t>In order to</w:t>
      </w:r>
      <w:proofErr w:type="gramEnd"/>
      <w:r>
        <w:t xml:space="preserve"> </w:t>
      </w:r>
      <w:r w:rsidR="000F7419">
        <w:t>visualize the</w:t>
      </w:r>
      <w:r>
        <w:t xml:space="preserve"> overall spectral emission mask that shall be satisfied, it is useful to consider a concrete example. Hence, we consider the case of an 80 MHz BWP consisting of four 20 MHz LBT sub-bands. While multiple puncturing patterns are possible (illustrated in </w:t>
      </w:r>
      <w:r>
        <w:fldChar w:fldCharType="begin"/>
      </w:r>
      <w:r>
        <w:instrText xml:space="preserve"> REF _Ref7708949 \h </w:instrText>
      </w:r>
      <w:r>
        <w:fldChar w:fldCharType="separate"/>
      </w:r>
      <w:r w:rsidRPr="002B28E7">
        <w:t xml:space="preserve">Figure </w:t>
      </w:r>
      <w:r>
        <w:rPr>
          <w:noProof/>
        </w:rPr>
        <w:t>1</w:t>
      </w:r>
      <w:r>
        <w:fldChar w:fldCharType="end"/>
      </w:r>
      <w:r>
        <w:t>), we consider 3 in particular [1 1 0 1], [1 0 0 1], and [1 1 1 0], where a ‘0’ indicates that a 20 MHz channel has been punctured.</w:t>
      </w:r>
    </w:p>
    <w:p w14:paraId="1EDA050C" w14:textId="58AFA470" w:rsidR="00BA0EE2" w:rsidRDefault="000F7419" w:rsidP="004A0F0C">
      <w:pPr>
        <w:pStyle w:val="BodyText"/>
      </w:pPr>
      <w:r>
        <w:t xml:space="preserve">For the first example pattern </w:t>
      </w:r>
      <w:r w:rsidR="00BA0EE2">
        <w:t>[1 1 0 1], two masks are superimposed, and the maximum value at each frequency point defines the overall mask</w:t>
      </w:r>
      <w:r>
        <w:t xml:space="preserve"> according to the above procedure</w:t>
      </w:r>
      <w:r w:rsidR="00BA0EE2">
        <w:t xml:space="preserve">. The first mask corresponds to two adjacent 20 MHz channels (the first two ‘1’’s in the pattern) which define a nominal channel bandwidth of 40 </w:t>
      </w:r>
      <w:proofErr w:type="spellStart"/>
      <w:r w:rsidR="00BA0EE2">
        <w:t>MHz.</w:t>
      </w:r>
      <w:proofErr w:type="spellEnd"/>
      <w:r w:rsidR="00BA0EE2">
        <w:t xml:space="preserve"> The second mask corresponds to a single 20 MHz channel (the </w:t>
      </w:r>
      <w:r w:rsidR="009D452A">
        <w:t xml:space="preserve">last ‘1’ in the pattern) which defines a nominal channel bandwidth of 20 </w:t>
      </w:r>
      <w:proofErr w:type="spellStart"/>
      <w:r w:rsidR="009D452A">
        <w:t>MHz.</w:t>
      </w:r>
      <w:proofErr w:type="spellEnd"/>
      <w:r w:rsidR="009D452A">
        <w:t xml:space="preserve"> The envelope of the two masks is shown by the solid blue line in </w:t>
      </w:r>
      <w:r w:rsidR="009D452A">
        <w:fldChar w:fldCharType="begin"/>
      </w:r>
      <w:r w:rsidR="009D452A">
        <w:instrText xml:space="preserve"> REF _Ref7798263 \h </w:instrText>
      </w:r>
      <w:r w:rsidR="009D452A">
        <w:fldChar w:fldCharType="separate"/>
      </w:r>
      <w:r w:rsidR="009D452A">
        <w:t xml:space="preserve">Figure </w:t>
      </w:r>
      <w:r w:rsidR="009D452A">
        <w:rPr>
          <w:noProof/>
        </w:rPr>
        <w:t>4</w:t>
      </w:r>
      <w:r w:rsidR="009D452A">
        <w:fldChar w:fldCharType="end"/>
      </w:r>
      <w:r w:rsidR="009D452A">
        <w:t>.</w:t>
      </w:r>
      <w:r w:rsidR="00A51C84">
        <w:t xml:space="preserve"> This is the overall ETSI mask that shall be </w:t>
      </w:r>
      <w:proofErr w:type="spellStart"/>
      <w:r w:rsidR="00A51C84">
        <w:t>satisified</w:t>
      </w:r>
      <w:proofErr w:type="spellEnd"/>
      <w:r w:rsidR="00A51C84">
        <w:t xml:space="preserve"> in the 5 GHz RLAN band</w:t>
      </w:r>
      <w:r>
        <w:t xml:space="preserve"> for the pattern [1 1 0 1]:</w:t>
      </w:r>
    </w:p>
    <w:p w14:paraId="68BC4C30" w14:textId="04339193" w:rsidR="000F7419" w:rsidRDefault="00A51C84" w:rsidP="004A0F0C">
      <w:pPr>
        <w:pStyle w:val="BodyText"/>
      </w:pPr>
      <w:r>
        <w:fldChar w:fldCharType="begin"/>
      </w:r>
      <w:r>
        <w:instrText xml:space="preserve"> REF _Ref7798263 \h </w:instrText>
      </w:r>
      <w:r>
        <w:fldChar w:fldCharType="separate"/>
      </w:r>
      <w:r>
        <w:t xml:space="preserve">Figure </w:t>
      </w:r>
      <w:r>
        <w:rPr>
          <w:noProof/>
        </w:rPr>
        <w:t>4</w:t>
      </w:r>
      <w:r>
        <w:fldChar w:fldCharType="end"/>
      </w:r>
      <w:r>
        <w:t xml:space="preserve"> </w:t>
      </w:r>
      <w:r w:rsidR="000F7419">
        <w:t xml:space="preserve">also shows the overall spectral emission mask for Wi-Fi preamble puncturing according to the internal and edge masks in </w:t>
      </w:r>
      <w:r w:rsidR="000F7419">
        <w:fldChar w:fldCharType="begin"/>
      </w:r>
      <w:r w:rsidR="000F7419">
        <w:instrText xml:space="preserve"> REF _Ref7717132 \h </w:instrText>
      </w:r>
      <w:r w:rsidR="000F7419">
        <w:fldChar w:fldCharType="separate"/>
      </w:r>
      <w:r w:rsidR="000F7419" w:rsidRPr="002B28E7">
        <w:t xml:space="preserve">Figure </w:t>
      </w:r>
      <w:r w:rsidR="000F7419">
        <w:rPr>
          <w:noProof/>
        </w:rPr>
        <w:t>2</w:t>
      </w:r>
      <w:r w:rsidR="000F7419">
        <w:fldChar w:fldCharType="end"/>
      </w:r>
      <w:r w:rsidR="000F7419">
        <w:t xml:space="preserve"> (dashed red line). Note that outside the 80 MHz BWP, the dashed red line </w:t>
      </w:r>
      <w:r w:rsidR="00F72171">
        <w:t xml:space="preserve">is </w:t>
      </w:r>
      <w:r w:rsidR="000F7419">
        <w:t xml:space="preserve">according to a nominal channel bandwidth of 80 </w:t>
      </w:r>
      <w:proofErr w:type="spellStart"/>
      <w:r w:rsidR="000F7419">
        <w:t>MHz.</w:t>
      </w:r>
      <w:proofErr w:type="spellEnd"/>
      <w:r w:rsidR="000F7419">
        <w:t xml:space="preserve"> Clearly, the Wi-Fi preamble puncturing mask does not satisfy the ETSI BRAN requirements for spectral emissions.</w:t>
      </w:r>
      <w:r w:rsidR="000163C0">
        <w:t xml:space="preserve"> The preamble punctured mask </w:t>
      </w:r>
      <w:r w:rsidR="0016143D">
        <w:t>violates</w:t>
      </w:r>
      <w:r w:rsidR="000163C0">
        <w:t xml:space="preserve"> the ETSI mask by anywhere from 5 to 15 dB depending on the frequency position.</w:t>
      </w:r>
    </w:p>
    <w:p w14:paraId="3412EC94" w14:textId="2936FB13" w:rsidR="000163C0" w:rsidRDefault="000163C0" w:rsidP="000163C0">
      <w:pPr>
        <w:pStyle w:val="BodyText"/>
        <w:jc w:val="left"/>
      </w:pPr>
      <w:r>
        <w:fldChar w:fldCharType="begin"/>
      </w:r>
      <w:r>
        <w:instrText xml:space="preserve"> REF _Ref7799987 \h </w:instrText>
      </w:r>
      <w:r>
        <w:fldChar w:fldCharType="separate"/>
      </w:r>
      <w:r>
        <w:t xml:space="preserve">Figure </w:t>
      </w:r>
      <w:r>
        <w:rPr>
          <w:noProof/>
        </w:rPr>
        <w:t>5</w:t>
      </w:r>
      <w:r>
        <w:fldChar w:fldCharType="end"/>
      </w:r>
      <w:r>
        <w:t xml:space="preserve"> and </w:t>
      </w:r>
      <w:r>
        <w:fldChar w:fldCharType="begin"/>
      </w:r>
      <w:r>
        <w:instrText xml:space="preserve"> REF _Ref7799989 \h </w:instrText>
      </w:r>
      <w:r>
        <w:fldChar w:fldCharType="separate"/>
      </w:r>
      <w:r>
        <w:t xml:space="preserve">Figure </w:t>
      </w:r>
      <w:r>
        <w:rPr>
          <w:noProof/>
        </w:rPr>
        <w:t>6</w:t>
      </w:r>
      <w:r>
        <w:fldChar w:fldCharType="end"/>
      </w:r>
      <w:r>
        <w:t xml:space="preserve"> show the same comparison for the other two channel puncturing patterns. Again, the Wi-Fi mask </w:t>
      </w:r>
      <w:r w:rsidR="0016143D">
        <w:t>violates</w:t>
      </w:r>
      <w:r>
        <w:t xml:space="preserve"> the ETSI mask by up to 15 dB</w:t>
      </w:r>
      <w:r w:rsidR="00F72171">
        <w:t xml:space="preserve"> on the outer edges of the transmission and up to 20 dB on the inner parts of the transmission corresponding to failed LBT sub-bands</w:t>
      </w:r>
      <w:r>
        <w:t>.</w:t>
      </w:r>
    </w:p>
    <w:p w14:paraId="4777EBF0" w14:textId="77777777" w:rsidR="009D452A" w:rsidRDefault="009D452A" w:rsidP="009D452A">
      <w:pPr>
        <w:pStyle w:val="BodyText"/>
        <w:keepNext/>
        <w:jc w:val="center"/>
      </w:pPr>
      <w:r w:rsidRPr="009D452A">
        <w:rPr>
          <w:noProof/>
        </w:rPr>
        <w:lastRenderedPageBreak/>
        <w:drawing>
          <wp:inline distT="0" distB="0" distL="0" distR="0" wp14:anchorId="39E6919F" wp14:editId="4E5232AC">
            <wp:extent cx="365760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5E35600E" w14:textId="09E85350" w:rsidR="009D452A" w:rsidRDefault="009D452A" w:rsidP="009D452A">
      <w:pPr>
        <w:pStyle w:val="Caption"/>
        <w:jc w:val="center"/>
      </w:pPr>
      <w:bookmarkStart w:id="14" w:name="_Ref7798263"/>
      <w:r>
        <w:t xml:space="preserve">Figure </w:t>
      </w:r>
      <w:r w:rsidR="001B354F">
        <w:rPr>
          <w:noProof/>
        </w:rPr>
        <w:fldChar w:fldCharType="begin"/>
      </w:r>
      <w:r w:rsidR="001B354F">
        <w:rPr>
          <w:noProof/>
        </w:rPr>
        <w:instrText xml:space="preserve"> SEQ Figure \* ARABIC </w:instrText>
      </w:r>
      <w:r w:rsidR="001B354F">
        <w:rPr>
          <w:noProof/>
        </w:rPr>
        <w:fldChar w:fldCharType="separate"/>
      </w:r>
      <w:r>
        <w:rPr>
          <w:noProof/>
        </w:rPr>
        <w:t>4</w:t>
      </w:r>
      <w:r w:rsidR="001B354F">
        <w:rPr>
          <w:noProof/>
        </w:rPr>
        <w:fldChar w:fldCharType="end"/>
      </w:r>
      <w:bookmarkEnd w:id="14"/>
      <w:r>
        <w:t xml:space="preserve">: </w:t>
      </w:r>
      <w:r w:rsidR="000F7419">
        <w:t xml:space="preserve">Comparison of </w:t>
      </w:r>
      <w:r w:rsidR="000163C0">
        <w:t xml:space="preserve">the </w:t>
      </w:r>
      <w:r w:rsidR="000F7419">
        <w:t>overall spectral emission mask</w:t>
      </w:r>
      <w:r w:rsidR="000163C0">
        <w:t>s</w:t>
      </w:r>
      <w:r w:rsidR="000F7419">
        <w:t xml:space="preserve"> for the </w:t>
      </w:r>
      <w:r>
        <w:t>[1 1 0 1]</w:t>
      </w:r>
      <w:r w:rsidR="000F7419">
        <w:t xml:space="preserve"> </w:t>
      </w:r>
      <w:r w:rsidR="000163C0">
        <w:t xml:space="preserve">channel </w:t>
      </w:r>
      <w:r w:rsidR="000F7419">
        <w:t>puncturing pattern</w:t>
      </w:r>
    </w:p>
    <w:p w14:paraId="2E8EA135" w14:textId="77777777" w:rsidR="009D452A" w:rsidRDefault="009D452A" w:rsidP="009D452A">
      <w:pPr>
        <w:pStyle w:val="BodyText"/>
        <w:keepNext/>
        <w:jc w:val="center"/>
      </w:pPr>
      <w:r w:rsidRPr="009D452A">
        <w:rPr>
          <w:noProof/>
        </w:rPr>
        <w:drawing>
          <wp:inline distT="0" distB="0" distL="0" distR="0" wp14:anchorId="3370B108" wp14:editId="301DDAC6">
            <wp:extent cx="36576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74CBBD05" w14:textId="22C77005" w:rsidR="009D452A" w:rsidRDefault="009D452A" w:rsidP="009D452A">
      <w:pPr>
        <w:pStyle w:val="Caption"/>
        <w:jc w:val="center"/>
      </w:pPr>
      <w:bookmarkStart w:id="15" w:name="_Ref7799987"/>
      <w:r>
        <w:t xml:space="preserve">Figure </w:t>
      </w:r>
      <w:r w:rsidR="001B354F">
        <w:rPr>
          <w:noProof/>
        </w:rPr>
        <w:fldChar w:fldCharType="begin"/>
      </w:r>
      <w:r w:rsidR="001B354F">
        <w:rPr>
          <w:noProof/>
        </w:rPr>
        <w:instrText xml:space="preserve"> SEQ Figure \* ARABIC </w:instrText>
      </w:r>
      <w:r w:rsidR="001B354F">
        <w:rPr>
          <w:noProof/>
        </w:rPr>
        <w:fldChar w:fldCharType="separate"/>
      </w:r>
      <w:r>
        <w:rPr>
          <w:noProof/>
        </w:rPr>
        <w:t>5</w:t>
      </w:r>
      <w:r w:rsidR="001B354F">
        <w:rPr>
          <w:noProof/>
        </w:rPr>
        <w:fldChar w:fldCharType="end"/>
      </w:r>
      <w:bookmarkEnd w:id="15"/>
      <w:r>
        <w:t xml:space="preserve">: </w:t>
      </w:r>
      <w:r w:rsidR="000163C0">
        <w:t>Comparison of the overall spectral emission masks for the [1 0 0 1] channel puncturing pattern</w:t>
      </w:r>
    </w:p>
    <w:p w14:paraId="3930FD90" w14:textId="7C2B4955" w:rsidR="009D452A" w:rsidRDefault="009D452A" w:rsidP="009D452A">
      <w:pPr>
        <w:pStyle w:val="BodyText"/>
        <w:jc w:val="center"/>
      </w:pPr>
    </w:p>
    <w:p w14:paraId="38849EB9" w14:textId="77777777" w:rsidR="009D452A" w:rsidRDefault="009D452A" w:rsidP="009D452A">
      <w:pPr>
        <w:pStyle w:val="BodyText"/>
        <w:keepNext/>
        <w:jc w:val="center"/>
      </w:pPr>
      <w:r w:rsidRPr="009D452A">
        <w:rPr>
          <w:noProof/>
        </w:rPr>
        <w:lastRenderedPageBreak/>
        <w:drawing>
          <wp:inline distT="0" distB="0" distL="0" distR="0" wp14:anchorId="17F5B7D9" wp14:editId="426ECF92">
            <wp:extent cx="36576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23A92DC7" w14:textId="68C353F1" w:rsidR="009D452A" w:rsidRDefault="009D452A" w:rsidP="009D452A">
      <w:pPr>
        <w:pStyle w:val="Caption"/>
        <w:jc w:val="center"/>
      </w:pPr>
      <w:bookmarkStart w:id="16" w:name="_Ref7799989"/>
      <w:r>
        <w:t xml:space="preserve">Figure </w:t>
      </w:r>
      <w:r w:rsidR="001B354F">
        <w:rPr>
          <w:noProof/>
        </w:rPr>
        <w:fldChar w:fldCharType="begin"/>
      </w:r>
      <w:r w:rsidR="001B354F">
        <w:rPr>
          <w:noProof/>
        </w:rPr>
        <w:instrText xml:space="preserve"> SEQ Figure \* ARABIC </w:instrText>
      </w:r>
      <w:r w:rsidR="001B354F">
        <w:rPr>
          <w:noProof/>
        </w:rPr>
        <w:fldChar w:fldCharType="separate"/>
      </w:r>
      <w:r>
        <w:rPr>
          <w:noProof/>
        </w:rPr>
        <w:t>6</w:t>
      </w:r>
      <w:r w:rsidR="001B354F">
        <w:rPr>
          <w:noProof/>
        </w:rPr>
        <w:fldChar w:fldCharType="end"/>
      </w:r>
      <w:bookmarkEnd w:id="16"/>
      <w:r>
        <w:t xml:space="preserve">: </w:t>
      </w:r>
      <w:r w:rsidR="000163C0">
        <w:t>Comparison of the overall spectral emission masks for the [1 1 1 0] channel puncturing pattern</w:t>
      </w:r>
    </w:p>
    <w:p w14:paraId="7C2EEF7F" w14:textId="09440CA4" w:rsidR="00BA0EE2" w:rsidRDefault="000163C0" w:rsidP="004A0F0C">
      <w:pPr>
        <w:pStyle w:val="BodyText"/>
      </w:pPr>
      <w:r>
        <w:t>Based on these results we make the following observation:</w:t>
      </w:r>
    </w:p>
    <w:p w14:paraId="25FD7511" w14:textId="27965BF3" w:rsidR="006C7396" w:rsidRDefault="000163C0" w:rsidP="00AE528A">
      <w:pPr>
        <w:pStyle w:val="Observation"/>
        <w:ind w:left="1701" w:hanging="1701"/>
      </w:pPr>
      <w:bookmarkStart w:id="17" w:name="_Toc7804496"/>
      <w:r>
        <w:t>E</w:t>
      </w:r>
      <w:r w:rsidRPr="000163C0">
        <w:t xml:space="preserve">quipment only compliant with the Wi-Fi preamble-punctured channel emissions mask is not compliant with the ETSI </w:t>
      </w:r>
      <w:r>
        <w:t>harmonized</w:t>
      </w:r>
      <w:r w:rsidRPr="000163C0">
        <w:t xml:space="preserve"> standard for </w:t>
      </w:r>
      <w:r>
        <w:t xml:space="preserve">Modes 2 and 3 defined in the RAN4 LS </w:t>
      </w:r>
      <w:r w:rsidR="00AE528A">
        <w:fldChar w:fldCharType="begin"/>
      </w:r>
      <w:r w:rsidR="00AE528A">
        <w:instrText xml:space="preserve"> REF _Ref7709648 \r \h </w:instrText>
      </w:r>
      <w:r w:rsidR="00AE528A">
        <w:fldChar w:fldCharType="separate"/>
      </w:r>
      <w:r w:rsidR="00AE528A">
        <w:t>[6]</w:t>
      </w:r>
      <w:r w:rsidR="00AE528A">
        <w:fldChar w:fldCharType="end"/>
      </w:r>
      <w:r w:rsidR="00AE528A">
        <w:t>.</w:t>
      </w:r>
      <w:bookmarkEnd w:id="17"/>
    </w:p>
    <w:p w14:paraId="28E75176" w14:textId="55263C71" w:rsidR="0016143D" w:rsidRDefault="0016143D" w:rsidP="0016143D">
      <w:pPr>
        <w:pStyle w:val="BodyText"/>
        <w:jc w:val="left"/>
      </w:pPr>
      <w:r>
        <w:t xml:space="preserve">It is important to recognize that the ETSI mask is not violated for Mode 1 in the RAN 4 LS </w:t>
      </w:r>
      <w:r>
        <w:fldChar w:fldCharType="begin"/>
      </w:r>
      <w:r>
        <w:instrText xml:space="preserve"> REF _Ref7709648 \r \h </w:instrText>
      </w:r>
      <w:r>
        <w:fldChar w:fldCharType="separate"/>
      </w:r>
      <w:r>
        <w:t>[6]</w:t>
      </w:r>
      <w:r>
        <w:fldChar w:fldCharType="end"/>
      </w:r>
      <w:r>
        <w:t>, i.e., in the case where transmission occurs if all LBT is successful in all LBT-</w:t>
      </w:r>
      <w:proofErr w:type="spellStart"/>
      <w:r>
        <w:t>subbands</w:t>
      </w:r>
      <w:proofErr w:type="spellEnd"/>
      <w:r>
        <w:t xml:space="preserve"> of the wideband carrier. In </w:t>
      </w:r>
      <w:r w:rsidR="00881725">
        <w:t xml:space="preserve">the examples above, </w:t>
      </w:r>
      <w:r>
        <w:t xml:space="preserve">the </w:t>
      </w:r>
      <w:r w:rsidR="00813424">
        <w:t xml:space="preserve">spectral emissions mask is determined using a </w:t>
      </w:r>
      <w:r>
        <w:t xml:space="preserve">nominal channel bandwidth is 80 </w:t>
      </w:r>
      <w:proofErr w:type="spellStart"/>
      <w:r>
        <w:t>MHz.</w:t>
      </w:r>
      <w:bookmarkStart w:id="18" w:name="_GoBack"/>
      <w:bookmarkEnd w:id="18"/>
      <w:proofErr w:type="spellEnd"/>
    </w:p>
    <w:p w14:paraId="4D2CEBAA" w14:textId="77777777" w:rsidR="0016143D" w:rsidRDefault="0016143D" w:rsidP="0016143D">
      <w:pPr>
        <w:pStyle w:val="Observation"/>
        <w:ind w:left="1701" w:hanging="1701"/>
      </w:pPr>
      <w:bookmarkStart w:id="19" w:name="_Toc7804497"/>
      <w:r>
        <w:t xml:space="preserve">The overall ETSI spectral emission mask is satisfied for Mode 1 defined in the RAN4 LS </w:t>
      </w:r>
      <w:r>
        <w:fldChar w:fldCharType="begin"/>
      </w:r>
      <w:r>
        <w:instrText xml:space="preserve"> REF _Ref7709648 \r \h </w:instrText>
      </w:r>
      <w:r>
        <w:fldChar w:fldCharType="separate"/>
      </w:r>
      <w:r>
        <w:t>[6]</w:t>
      </w:r>
      <w:r>
        <w:fldChar w:fldCharType="end"/>
      </w:r>
      <w:r>
        <w:t>, i.e., when transmission occurs if LBT is successful in all LBT sub-bands, i.e., no channel puncturing.</w:t>
      </w:r>
      <w:bookmarkEnd w:id="19"/>
    </w:p>
    <w:p w14:paraId="7DC99AF9" w14:textId="36B789D5" w:rsidR="00A2263E" w:rsidRPr="002B28E7" w:rsidRDefault="00E06A5B" w:rsidP="00A2263E">
      <w:pPr>
        <w:pStyle w:val="BodyText"/>
        <w:rPr>
          <w:rFonts w:eastAsia="SimSun"/>
        </w:rPr>
      </w:pPr>
      <w:r>
        <w:t xml:space="preserve">Clearly, adoption of Wi-Fi like </w:t>
      </w:r>
      <w:r w:rsidRPr="002B28E7">
        <w:t xml:space="preserve">requirements (20 </w:t>
      </w:r>
      <w:proofErr w:type="spellStart"/>
      <w:r w:rsidRPr="002B28E7">
        <w:t>dBr</w:t>
      </w:r>
      <w:proofErr w:type="spellEnd"/>
      <w:r w:rsidRPr="002B28E7">
        <w:t>) for in-carrier leakage</w:t>
      </w:r>
      <w:r>
        <w:t xml:space="preserve"> is a significant relaxation compared to ETSI BRAN requirements</w:t>
      </w:r>
      <w:r w:rsidR="0016143D">
        <w:t xml:space="preserve"> for the case of channel puncturing</w:t>
      </w:r>
      <w:r>
        <w:t>.</w:t>
      </w:r>
      <w:r w:rsidR="00041F8A">
        <w:t xml:space="preserve"> </w:t>
      </w:r>
      <w:r w:rsidR="00A2263E" w:rsidRPr="002B28E7">
        <w:t xml:space="preserve">In </w:t>
      </w:r>
      <w:r w:rsidR="00A2263E">
        <w:fldChar w:fldCharType="begin"/>
      </w:r>
      <w:r w:rsidR="00A2263E" w:rsidRPr="002B28E7">
        <w:instrText xml:space="preserve"> REF _Ref7716718 \r \h </w:instrText>
      </w:r>
      <w:r w:rsidR="00A2263E">
        <w:fldChar w:fldCharType="separate"/>
      </w:r>
      <w:r w:rsidR="00A2263E" w:rsidRPr="002B28E7">
        <w:t>[8]</w:t>
      </w:r>
      <w:r w:rsidR="00A2263E">
        <w:fldChar w:fldCharType="end"/>
      </w:r>
      <w:r w:rsidR="00A2263E" w:rsidRPr="002B28E7">
        <w:t xml:space="preserve"> it is observed that “</w:t>
      </w:r>
      <w:r w:rsidR="00A2263E" w:rsidRPr="002B28E7">
        <w:rPr>
          <w:rFonts w:eastAsia="SimSun"/>
        </w:rPr>
        <w:t xml:space="preserve">this relaxed in-carrier emission requirements compared with LAA adjacent channel requirements may degrade system performance, if only LAA and NR-U deployed without Wi-Fi system.” If such Wi-Fi like requirements are adopted for NR-U, such a degradation of LTE-LAA performance </w:t>
      </w:r>
      <w:r w:rsidR="00041F8A">
        <w:rPr>
          <w:rFonts w:eastAsia="SimSun"/>
        </w:rPr>
        <w:t>may</w:t>
      </w:r>
      <w:r w:rsidR="00A2263E" w:rsidRPr="002B28E7">
        <w:rPr>
          <w:rFonts w:eastAsia="SimSun"/>
        </w:rPr>
        <w:t xml:space="preserve"> occur, for example, in outdoor LTE-LAA deployments where Wi-Fi may not be expected.</w:t>
      </w:r>
    </w:p>
    <w:p w14:paraId="3A4B2B0F" w14:textId="77777777" w:rsidR="00A2263E" w:rsidRPr="002B28E7" w:rsidRDefault="00A2263E" w:rsidP="00A2263E">
      <w:pPr>
        <w:pStyle w:val="Observation"/>
      </w:pPr>
      <w:bookmarkStart w:id="20" w:name="_Toc7804498"/>
      <w:r w:rsidRPr="002B28E7">
        <w:t xml:space="preserve">If NR-U adopts Wi-Fi like (20 </w:t>
      </w:r>
      <w:proofErr w:type="spellStart"/>
      <w:r w:rsidRPr="002B28E7">
        <w:t>dBr</w:t>
      </w:r>
      <w:proofErr w:type="spellEnd"/>
      <w:r w:rsidRPr="002B28E7">
        <w:t>) RF requirements for spectral emission masks, LTE-LAA/NR-U coexistence may be harmed.</w:t>
      </w:r>
      <w:bookmarkEnd w:id="20"/>
    </w:p>
    <w:p w14:paraId="68624DBE" w14:textId="2B60B08B" w:rsidR="00114814" w:rsidRDefault="00114814" w:rsidP="00114814">
      <w:pPr>
        <w:pStyle w:val="Heading2"/>
      </w:pPr>
      <w:r>
        <w:t>3.3</w:t>
      </w:r>
      <w:r>
        <w:tab/>
        <w:t>Robustness</w:t>
      </w:r>
    </w:p>
    <w:p w14:paraId="1E4D5648" w14:textId="65BB8276" w:rsidR="00114814" w:rsidRPr="002B28E7" w:rsidRDefault="00114814" w:rsidP="00114814">
      <w:pPr>
        <w:pStyle w:val="BodyText"/>
      </w:pPr>
      <w:r w:rsidRPr="002B28E7">
        <w:t>It has been suggested that if LBT fails in one or more of 20 MHz channels within the BWP, full re-processing of the transport block can be avoided by puncturing or rate-matching around the LBT sub-bands (channels) that are unavailable due to CCA failure. In the former, the PDSCH/PUSCH REs are simply not transmitted in those LBT sub-bands, and the UE/</w:t>
      </w:r>
      <w:proofErr w:type="spellStart"/>
      <w:r w:rsidRPr="002B28E7">
        <w:t>gNB</w:t>
      </w:r>
      <w:proofErr w:type="spellEnd"/>
      <w:r w:rsidRPr="002B28E7">
        <w:t xml:space="preserve"> may set the soft values for the coded bits corresponding to those REs to zero prior to a decoding. In the latter, partial re-processing may be performed at the transmitting device, assuming </w:t>
      </w:r>
      <w:proofErr w:type="gramStart"/>
      <w:r w:rsidRPr="002B28E7">
        <w:t>sufficient</w:t>
      </w:r>
      <w:proofErr w:type="gramEnd"/>
      <w:r w:rsidRPr="002B28E7">
        <w:t xml:space="preserve"> processing capability. The partial re-processing is to re-encode the TB at a higher rate accounting for the unavailable </w:t>
      </w:r>
      <w:proofErr w:type="spellStart"/>
      <w:r w:rsidRPr="002B28E7">
        <w:t>REs.</w:t>
      </w:r>
      <w:proofErr w:type="spellEnd"/>
      <w:r w:rsidRPr="002B28E7">
        <w:t xml:space="preserve"> We emphasize that both approaches are undesirable and have a high likelihood of decoding failure thus requiring retransmissions. Moreover, such a scheme has an impact on contention window </w:t>
      </w:r>
      <w:r w:rsidRPr="002B28E7">
        <w:lastRenderedPageBreak/>
        <w:t xml:space="preserve">adjustment, implying longer channel access latencies during the next COT. Clearly, these effects reduce the spectral efficiency </w:t>
      </w:r>
      <w:r w:rsidR="007F14FF" w:rsidRPr="002B28E7">
        <w:t xml:space="preserve">of WB2 </w:t>
      </w:r>
      <w:r w:rsidRPr="002B28E7">
        <w:t>compared to WB1.</w:t>
      </w:r>
    </w:p>
    <w:p w14:paraId="17F3BCFC" w14:textId="291067BC" w:rsidR="00114814" w:rsidRDefault="00114814" w:rsidP="00114814">
      <w:pPr>
        <w:pStyle w:val="Observation"/>
        <w:ind w:left="1699" w:hanging="1699"/>
        <w:rPr>
          <w:rStyle w:val="IvDbodytextChar"/>
        </w:rPr>
      </w:pPr>
      <w:bookmarkStart w:id="21" w:name="_Toc7804499"/>
      <w:r>
        <w:rPr>
          <w:rStyle w:val="IvDbodytextChar"/>
        </w:rPr>
        <w:t>For WB2, p</w:t>
      </w:r>
      <w:r w:rsidRPr="00E9453F">
        <w:rPr>
          <w:rStyle w:val="IvDbodytextChar"/>
        </w:rPr>
        <w:t xml:space="preserve">uncturing/rate matching around LBT </w:t>
      </w:r>
      <w:r>
        <w:rPr>
          <w:rStyle w:val="IvDbodytextChar"/>
        </w:rPr>
        <w:t>sub-bands</w:t>
      </w:r>
      <w:r w:rsidRPr="00E9453F">
        <w:rPr>
          <w:rStyle w:val="IvDbodytextChar"/>
        </w:rPr>
        <w:t xml:space="preserve"> </w:t>
      </w:r>
      <w:r>
        <w:rPr>
          <w:rStyle w:val="IvDbodytextChar"/>
        </w:rPr>
        <w:t xml:space="preserve">where CCA fails </w:t>
      </w:r>
      <w:r w:rsidRPr="00E9453F">
        <w:rPr>
          <w:rStyle w:val="IvDbodytextChar"/>
        </w:rPr>
        <w:t>may cause P</w:t>
      </w:r>
      <w:r>
        <w:rPr>
          <w:rStyle w:val="IvDbodytextChar"/>
        </w:rPr>
        <w:t>D</w:t>
      </w:r>
      <w:r w:rsidRPr="00E9453F">
        <w:rPr>
          <w:rStyle w:val="IvDbodytextChar"/>
        </w:rPr>
        <w:t>SCH</w:t>
      </w:r>
      <w:r>
        <w:rPr>
          <w:rStyle w:val="IvDbodytextChar"/>
        </w:rPr>
        <w:t>/PUSCH</w:t>
      </w:r>
      <w:r w:rsidRPr="00E9453F">
        <w:rPr>
          <w:rStyle w:val="IvDbodytextChar"/>
        </w:rPr>
        <w:t xml:space="preserve"> decoding failure</w:t>
      </w:r>
      <w:r w:rsidR="00F43F9D">
        <w:rPr>
          <w:rStyle w:val="IvDbodytextChar"/>
        </w:rPr>
        <w:t xml:space="preserve"> which can adversely impact contention window sizes</w:t>
      </w:r>
      <w:r>
        <w:rPr>
          <w:rStyle w:val="IvDbodytextChar"/>
        </w:rPr>
        <w:t>.</w:t>
      </w:r>
      <w:bookmarkEnd w:id="21"/>
    </w:p>
    <w:p w14:paraId="67A3ED8B" w14:textId="08D2C808" w:rsidR="00E62187" w:rsidRDefault="00ED44DC" w:rsidP="00E62187">
      <w:pPr>
        <w:pStyle w:val="Heading1"/>
      </w:pPr>
      <w:r>
        <w:t>4</w:t>
      </w:r>
      <w:r w:rsidR="007D7B85">
        <w:tab/>
      </w:r>
      <w:r w:rsidR="00E62187">
        <w:t>Open Issues for WB2</w:t>
      </w:r>
    </w:p>
    <w:p w14:paraId="1950925B" w14:textId="037FCD61" w:rsidR="00945DE1" w:rsidRPr="00945DE1" w:rsidRDefault="00B807F3" w:rsidP="00945DE1">
      <w:pPr>
        <w:rPr>
          <w:rFonts w:ascii="Arial" w:hAnsi="Arial"/>
          <w:lang w:val="en-GB" w:eastAsia="zh-CN"/>
        </w:rPr>
      </w:pPr>
      <w:r>
        <w:rPr>
          <w:rFonts w:ascii="Arial" w:hAnsi="Arial"/>
          <w:lang w:val="en-GB" w:eastAsia="zh-CN"/>
        </w:rPr>
        <w:t xml:space="preserve">One of the open issues for WB2 </w:t>
      </w:r>
      <w:r w:rsidR="004F3ED1">
        <w:rPr>
          <w:rFonts w:ascii="Arial" w:hAnsi="Arial"/>
          <w:lang w:val="en-GB" w:eastAsia="zh-CN"/>
        </w:rPr>
        <w:t xml:space="preserve">that has been prioritized by the feature lead </w:t>
      </w:r>
      <w:r>
        <w:rPr>
          <w:rFonts w:ascii="Arial" w:hAnsi="Arial"/>
          <w:lang w:val="en-GB" w:eastAsia="zh-CN"/>
        </w:rPr>
        <w:t>relate</w:t>
      </w:r>
      <w:r w:rsidR="004F3ED1">
        <w:rPr>
          <w:rFonts w:ascii="Arial" w:hAnsi="Arial"/>
          <w:lang w:val="en-GB" w:eastAsia="zh-CN"/>
        </w:rPr>
        <w:t>s</w:t>
      </w:r>
      <w:r>
        <w:rPr>
          <w:rFonts w:ascii="Arial" w:hAnsi="Arial"/>
          <w:lang w:val="en-GB" w:eastAsia="zh-CN"/>
        </w:rPr>
        <w:t xml:space="preserve"> to the following agreement from </w:t>
      </w:r>
      <w:r w:rsidR="00945DE1" w:rsidRPr="00945DE1">
        <w:rPr>
          <w:rFonts w:ascii="Arial" w:hAnsi="Arial"/>
          <w:lang w:val="en-GB" w:eastAsia="zh-CN"/>
        </w:rPr>
        <w:t>RAN</w:t>
      </w:r>
      <w:r w:rsidR="00945DE1">
        <w:rPr>
          <w:rFonts w:ascii="Arial" w:hAnsi="Arial"/>
          <w:lang w:val="en-GB" w:eastAsia="zh-CN"/>
        </w:rPr>
        <w:t>1#96b</w:t>
      </w:r>
      <w:r>
        <w:rPr>
          <w:rFonts w:ascii="Arial" w:hAnsi="Arial"/>
          <w:lang w:val="en-GB" w:eastAsia="zh-CN"/>
        </w:rPr>
        <w:t>:</w:t>
      </w:r>
    </w:p>
    <w:p w14:paraId="2DF27173" w14:textId="77777777" w:rsidR="00945DE1" w:rsidRPr="00945DE1" w:rsidRDefault="00945DE1" w:rsidP="00945DE1">
      <w:pPr>
        <w:spacing w:after="0" w:line="240" w:lineRule="auto"/>
        <w:ind w:left="360"/>
        <w:rPr>
          <w:rFonts w:ascii="Times" w:eastAsia="Batang" w:hAnsi="Times" w:cs="Times New Roman"/>
          <w:sz w:val="20"/>
          <w:szCs w:val="24"/>
          <w:lang w:eastAsia="x-none"/>
        </w:rPr>
      </w:pPr>
      <w:r w:rsidRPr="00945DE1">
        <w:rPr>
          <w:rFonts w:ascii="Times" w:eastAsia="Batang" w:hAnsi="Times" w:cs="Times New Roman"/>
          <w:sz w:val="20"/>
          <w:szCs w:val="24"/>
          <w:highlight w:val="green"/>
          <w:lang w:eastAsia="x-none"/>
        </w:rPr>
        <w:t>Agreement:</w:t>
      </w:r>
    </w:p>
    <w:p w14:paraId="48F721F1" w14:textId="77777777" w:rsidR="00945DE1" w:rsidRPr="00945DE1" w:rsidRDefault="00945DE1" w:rsidP="00945DE1">
      <w:pPr>
        <w:numPr>
          <w:ilvl w:val="0"/>
          <w:numId w:val="28"/>
        </w:numPr>
        <w:spacing w:after="0" w:line="240" w:lineRule="auto"/>
        <w:ind w:left="1080"/>
        <w:rPr>
          <w:rFonts w:ascii="Times" w:eastAsia="Batang" w:hAnsi="Times" w:cs="Times New Roman"/>
          <w:sz w:val="20"/>
          <w:szCs w:val="24"/>
          <w:lang w:val="en-GB" w:eastAsia="x-none"/>
        </w:rPr>
      </w:pPr>
      <w:r w:rsidRPr="00945DE1">
        <w:rPr>
          <w:rFonts w:ascii="Times" w:eastAsia="Batang" w:hAnsi="Times" w:cs="Times New Roman"/>
          <w:sz w:val="20"/>
          <w:szCs w:val="24"/>
          <w:lang w:val="en-GB" w:eastAsia="x-none"/>
        </w:rPr>
        <w:t xml:space="preserve">Support a mechanism for a UE to detect </w:t>
      </w:r>
      <w:proofErr w:type="spellStart"/>
      <w:r w:rsidRPr="00945DE1">
        <w:rPr>
          <w:rFonts w:ascii="Times" w:eastAsia="Batang" w:hAnsi="Times" w:cs="Times New Roman"/>
          <w:sz w:val="20"/>
          <w:szCs w:val="24"/>
          <w:lang w:val="en-GB" w:eastAsia="x-none"/>
        </w:rPr>
        <w:t>gNB</w:t>
      </w:r>
      <w:proofErr w:type="spellEnd"/>
      <w:r w:rsidRPr="00945DE1">
        <w:rPr>
          <w:rFonts w:ascii="Times" w:eastAsia="Batang" w:hAnsi="Times" w:cs="Times New Roman"/>
          <w:sz w:val="20"/>
          <w:szCs w:val="24"/>
          <w:lang w:val="en-GB" w:eastAsia="x-none"/>
        </w:rPr>
        <w:t xml:space="preserve"> is transmitting across</w:t>
      </w:r>
    </w:p>
    <w:p w14:paraId="4BDDFA3C" w14:textId="77777777" w:rsidR="00945DE1" w:rsidRPr="00945DE1" w:rsidRDefault="00945DE1" w:rsidP="00945DE1">
      <w:pPr>
        <w:numPr>
          <w:ilvl w:val="0"/>
          <w:numId w:val="27"/>
        </w:numPr>
        <w:spacing w:after="0" w:line="240" w:lineRule="auto"/>
        <w:ind w:left="1440"/>
        <w:rPr>
          <w:rFonts w:ascii="Times" w:eastAsia="Batang" w:hAnsi="Times" w:cs="Times New Roman"/>
          <w:sz w:val="20"/>
          <w:szCs w:val="24"/>
          <w:lang w:eastAsia="x-none"/>
        </w:rPr>
      </w:pPr>
      <w:r w:rsidRPr="00945DE1">
        <w:rPr>
          <w:rFonts w:ascii="Times" w:eastAsia="Batang" w:hAnsi="Times" w:cs="Times New Roman"/>
          <w:sz w:val="20"/>
          <w:szCs w:val="24"/>
          <w:lang w:val="en-GB" w:eastAsia="x-none"/>
        </w:rPr>
        <w:t xml:space="preserve">Multiple carriers </w:t>
      </w:r>
    </w:p>
    <w:p w14:paraId="1DD5A7EA" w14:textId="77777777" w:rsidR="00945DE1" w:rsidRPr="002B28E7" w:rsidRDefault="00945DE1" w:rsidP="00945DE1">
      <w:pPr>
        <w:numPr>
          <w:ilvl w:val="0"/>
          <w:numId w:val="27"/>
        </w:numPr>
        <w:spacing w:after="0" w:line="240" w:lineRule="auto"/>
        <w:ind w:left="1440"/>
        <w:rPr>
          <w:rFonts w:ascii="Times" w:eastAsia="Batang" w:hAnsi="Times" w:cs="Times New Roman"/>
          <w:sz w:val="20"/>
          <w:szCs w:val="24"/>
          <w:lang w:eastAsia="x-none"/>
        </w:rPr>
      </w:pPr>
      <w:r w:rsidRPr="00945DE1">
        <w:rPr>
          <w:rFonts w:ascii="Times" w:eastAsia="Batang" w:hAnsi="Times" w:cs="Times New Roman"/>
          <w:sz w:val="20"/>
          <w:szCs w:val="24"/>
          <w:lang w:val="en-GB" w:eastAsia="x-none"/>
        </w:rPr>
        <w:t xml:space="preserve">Multiple LBT bandwidths in a carrier. </w:t>
      </w:r>
    </w:p>
    <w:p w14:paraId="289786DD" w14:textId="77777777" w:rsidR="00945DE1" w:rsidRPr="00945DE1" w:rsidRDefault="00945DE1" w:rsidP="00945DE1">
      <w:pPr>
        <w:numPr>
          <w:ilvl w:val="0"/>
          <w:numId w:val="28"/>
        </w:numPr>
        <w:spacing w:after="0" w:line="240" w:lineRule="auto"/>
        <w:ind w:left="1080"/>
        <w:rPr>
          <w:rFonts w:ascii="Times" w:eastAsia="Batang" w:hAnsi="Times" w:cs="Times New Roman"/>
          <w:sz w:val="20"/>
          <w:szCs w:val="24"/>
          <w:lang w:val="en-GB" w:eastAsia="x-none"/>
        </w:rPr>
      </w:pPr>
      <w:r w:rsidRPr="00945DE1">
        <w:rPr>
          <w:rFonts w:ascii="Times" w:eastAsia="Batang" w:hAnsi="Times" w:cs="Times New Roman"/>
          <w:sz w:val="20"/>
          <w:szCs w:val="24"/>
          <w:lang w:val="en-GB" w:eastAsia="x-none"/>
        </w:rPr>
        <w:t>The following mechanisms are to be considered:</w:t>
      </w:r>
    </w:p>
    <w:p w14:paraId="581D915E" w14:textId="77777777" w:rsidR="00945DE1" w:rsidRPr="00945DE1" w:rsidRDefault="00945DE1" w:rsidP="00945DE1">
      <w:pPr>
        <w:numPr>
          <w:ilvl w:val="0"/>
          <w:numId w:val="26"/>
        </w:numPr>
        <w:spacing w:after="0" w:line="240" w:lineRule="auto"/>
        <w:ind w:left="1440"/>
        <w:rPr>
          <w:rFonts w:ascii="Times" w:eastAsia="Batang" w:hAnsi="Times" w:cs="Times New Roman"/>
          <w:sz w:val="20"/>
          <w:szCs w:val="24"/>
          <w:lang w:eastAsia="x-none"/>
        </w:rPr>
      </w:pPr>
      <w:r w:rsidRPr="00945DE1">
        <w:rPr>
          <w:rFonts w:ascii="Times" w:eastAsia="Batang" w:hAnsi="Times" w:cs="Times New Roman"/>
          <w:sz w:val="20"/>
          <w:szCs w:val="24"/>
          <w:lang w:val="en-GB" w:eastAsia="x-none"/>
        </w:rPr>
        <w:t>Option 1: Explicit indication via PDCCH</w:t>
      </w:r>
    </w:p>
    <w:p w14:paraId="015EAF20" w14:textId="77777777" w:rsidR="00945DE1" w:rsidRPr="002B28E7" w:rsidRDefault="00945DE1" w:rsidP="00945DE1">
      <w:pPr>
        <w:numPr>
          <w:ilvl w:val="1"/>
          <w:numId w:val="26"/>
        </w:numPr>
        <w:spacing w:after="0" w:line="240" w:lineRule="auto"/>
        <w:ind w:left="2160"/>
        <w:rPr>
          <w:rFonts w:ascii="Times" w:eastAsia="Batang" w:hAnsi="Times" w:cs="Times New Roman"/>
          <w:sz w:val="20"/>
          <w:szCs w:val="24"/>
          <w:lang w:eastAsia="x-none"/>
        </w:rPr>
      </w:pPr>
      <w:r w:rsidRPr="00945DE1">
        <w:rPr>
          <w:rFonts w:ascii="Times" w:eastAsia="Batang" w:hAnsi="Times" w:cs="Times New Roman"/>
          <w:sz w:val="20"/>
          <w:szCs w:val="24"/>
          <w:lang w:val="en-GB" w:eastAsia="x-none"/>
        </w:rPr>
        <w:t>FFS: The type of PDCCH (e.g., group common PDCCH or UE-specific PDCCH)</w:t>
      </w:r>
    </w:p>
    <w:p w14:paraId="28710849" w14:textId="77777777" w:rsidR="00945DE1" w:rsidRPr="002B28E7" w:rsidRDefault="00945DE1" w:rsidP="00945DE1">
      <w:pPr>
        <w:numPr>
          <w:ilvl w:val="1"/>
          <w:numId w:val="26"/>
        </w:numPr>
        <w:spacing w:after="0" w:line="240" w:lineRule="auto"/>
        <w:ind w:left="2160"/>
        <w:rPr>
          <w:rFonts w:ascii="Times" w:eastAsia="Batang" w:hAnsi="Times" w:cs="Times New Roman"/>
          <w:sz w:val="20"/>
          <w:szCs w:val="24"/>
          <w:lang w:eastAsia="x-none"/>
        </w:rPr>
      </w:pPr>
      <w:r w:rsidRPr="00945DE1">
        <w:rPr>
          <w:rFonts w:ascii="Times" w:eastAsia="Batang" w:hAnsi="Times" w:cs="Times New Roman"/>
          <w:sz w:val="20"/>
          <w:szCs w:val="24"/>
          <w:lang w:val="en-GB" w:eastAsia="x-none"/>
        </w:rPr>
        <w:t xml:space="preserve">FFS: </w:t>
      </w:r>
      <w:proofErr w:type="spellStart"/>
      <w:r w:rsidRPr="00945DE1">
        <w:rPr>
          <w:rFonts w:ascii="Times" w:eastAsia="Batang" w:hAnsi="Times" w:cs="Times New Roman"/>
          <w:sz w:val="20"/>
          <w:szCs w:val="24"/>
          <w:lang w:val="en-GB" w:eastAsia="x-none"/>
        </w:rPr>
        <w:t>Signaling</w:t>
      </w:r>
      <w:proofErr w:type="spellEnd"/>
      <w:r w:rsidRPr="00945DE1">
        <w:rPr>
          <w:rFonts w:ascii="Times" w:eastAsia="Batang" w:hAnsi="Times" w:cs="Times New Roman"/>
          <w:sz w:val="20"/>
          <w:szCs w:val="24"/>
          <w:lang w:val="en-GB" w:eastAsia="x-none"/>
        </w:rPr>
        <w:t xml:space="preserve"> details of the indication</w:t>
      </w:r>
    </w:p>
    <w:p w14:paraId="1357B210" w14:textId="77777777" w:rsidR="00945DE1" w:rsidRPr="00945DE1" w:rsidRDefault="00945DE1" w:rsidP="00945DE1">
      <w:pPr>
        <w:numPr>
          <w:ilvl w:val="0"/>
          <w:numId w:val="26"/>
        </w:numPr>
        <w:spacing w:after="0" w:line="240" w:lineRule="auto"/>
        <w:ind w:left="1440"/>
        <w:rPr>
          <w:rFonts w:ascii="Times" w:eastAsia="Batang" w:hAnsi="Times" w:cs="Times New Roman"/>
          <w:sz w:val="20"/>
          <w:szCs w:val="24"/>
          <w:lang w:val="en-GB" w:eastAsia="x-none"/>
        </w:rPr>
      </w:pPr>
      <w:r w:rsidRPr="00945DE1">
        <w:rPr>
          <w:rFonts w:ascii="Times" w:eastAsia="Batang" w:hAnsi="Times" w:cs="Times New Roman"/>
          <w:sz w:val="20"/>
          <w:szCs w:val="24"/>
          <w:lang w:val="en-GB" w:eastAsia="x-none"/>
        </w:rPr>
        <w:t>Option 2: Explicit indication via selection of a PDCCH DM-RS sequence from a set of PDCCH DM-RS sequences</w:t>
      </w:r>
    </w:p>
    <w:p w14:paraId="2656D11D" w14:textId="77777777" w:rsidR="00945DE1" w:rsidRPr="00945DE1" w:rsidRDefault="00945DE1" w:rsidP="00945DE1">
      <w:pPr>
        <w:numPr>
          <w:ilvl w:val="1"/>
          <w:numId w:val="26"/>
        </w:numPr>
        <w:spacing w:after="0" w:line="240" w:lineRule="auto"/>
        <w:ind w:left="2160"/>
        <w:rPr>
          <w:rFonts w:ascii="Times" w:eastAsia="Batang" w:hAnsi="Times" w:cs="Times New Roman"/>
          <w:sz w:val="20"/>
          <w:szCs w:val="24"/>
          <w:lang w:val="en-GB" w:eastAsia="x-none"/>
        </w:rPr>
      </w:pPr>
      <w:r w:rsidRPr="00945DE1">
        <w:rPr>
          <w:rFonts w:ascii="Times" w:eastAsia="Batang" w:hAnsi="Times" w:cs="Times New Roman"/>
          <w:sz w:val="20"/>
          <w:szCs w:val="24"/>
          <w:lang w:val="en-GB" w:eastAsia="x-none"/>
        </w:rPr>
        <w:t>FFS: Details of the indication</w:t>
      </w:r>
    </w:p>
    <w:p w14:paraId="6BA117B1" w14:textId="77777777" w:rsidR="00945DE1" w:rsidRPr="00945DE1" w:rsidRDefault="00945DE1" w:rsidP="00945DE1">
      <w:pPr>
        <w:numPr>
          <w:ilvl w:val="0"/>
          <w:numId w:val="26"/>
        </w:numPr>
        <w:spacing w:after="0" w:line="240" w:lineRule="auto"/>
        <w:ind w:left="1440"/>
        <w:rPr>
          <w:rFonts w:ascii="Times" w:eastAsia="Batang" w:hAnsi="Times" w:cs="Times New Roman"/>
          <w:sz w:val="20"/>
          <w:szCs w:val="24"/>
          <w:lang w:val="en-GB" w:eastAsia="x-none"/>
        </w:rPr>
      </w:pPr>
      <w:r w:rsidRPr="00945DE1">
        <w:rPr>
          <w:rFonts w:ascii="Times" w:eastAsia="Batang" w:hAnsi="Times" w:cs="Times New Roman"/>
          <w:sz w:val="20"/>
          <w:szCs w:val="24"/>
          <w:lang w:val="en-GB" w:eastAsia="x-none"/>
        </w:rPr>
        <w:t>Option 3: Via UE implementation, i.e., implicit method based on NR-based signal such as DM-RS and/or corresponding PDCCH detection</w:t>
      </w:r>
    </w:p>
    <w:p w14:paraId="1E16D4CE" w14:textId="77777777" w:rsidR="00945DE1" w:rsidRPr="00945DE1" w:rsidRDefault="00945DE1" w:rsidP="00945DE1">
      <w:pPr>
        <w:numPr>
          <w:ilvl w:val="1"/>
          <w:numId w:val="26"/>
        </w:numPr>
        <w:spacing w:after="0" w:line="240" w:lineRule="auto"/>
        <w:ind w:left="2160"/>
        <w:rPr>
          <w:rFonts w:ascii="Times" w:eastAsia="Batang" w:hAnsi="Times" w:cs="Times New Roman"/>
          <w:sz w:val="20"/>
          <w:szCs w:val="24"/>
          <w:lang w:val="en-GB" w:eastAsia="x-none"/>
        </w:rPr>
      </w:pPr>
      <w:r w:rsidRPr="00945DE1">
        <w:rPr>
          <w:rFonts w:ascii="Times" w:eastAsia="Batang" w:hAnsi="Times" w:cs="Times New Roman"/>
          <w:sz w:val="20"/>
          <w:szCs w:val="24"/>
          <w:lang w:val="en-GB" w:eastAsia="x-none"/>
        </w:rPr>
        <w:t>FFS: Which signals/channels or combination of signals/channels could be used by the UE</w:t>
      </w:r>
    </w:p>
    <w:p w14:paraId="6CEEA97E" w14:textId="77777777" w:rsidR="00945DE1" w:rsidRPr="00945DE1" w:rsidRDefault="00945DE1" w:rsidP="00945DE1">
      <w:pPr>
        <w:numPr>
          <w:ilvl w:val="0"/>
          <w:numId w:val="26"/>
        </w:numPr>
        <w:spacing w:after="0" w:line="240" w:lineRule="auto"/>
        <w:ind w:left="1440"/>
        <w:rPr>
          <w:rFonts w:ascii="Times" w:eastAsia="Batang" w:hAnsi="Times" w:cs="Times New Roman"/>
          <w:sz w:val="20"/>
          <w:szCs w:val="24"/>
          <w:lang w:val="en-GB" w:eastAsia="x-none"/>
        </w:rPr>
      </w:pPr>
      <w:r w:rsidRPr="00945DE1">
        <w:rPr>
          <w:rFonts w:ascii="Times" w:eastAsia="Batang" w:hAnsi="Times" w:cs="Times New Roman"/>
          <w:sz w:val="20"/>
          <w:szCs w:val="24"/>
          <w:lang w:val="en-GB" w:eastAsia="x-none"/>
        </w:rPr>
        <w:t>Note: Above options are not mutually exclusive</w:t>
      </w:r>
    </w:p>
    <w:p w14:paraId="40EE9143" w14:textId="4B161B44" w:rsidR="00945DE1" w:rsidRDefault="00945DE1" w:rsidP="00945DE1">
      <w:pPr>
        <w:rPr>
          <w:lang w:val="en-GB" w:eastAsia="ja-JP"/>
        </w:rPr>
      </w:pPr>
    </w:p>
    <w:p w14:paraId="2A20E322" w14:textId="18048045" w:rsidR="00E2191D" w:rsidRDefault="00B807F3" w:rsidP="00B807F3">
      <w:pPr>
        <w:pStyle w:val="BodyText"/>
        <w:rPr>
          <w:lang w:val="en-GB"/>
        </w:rPr>
      </w:pPr>
      <w:r>
        <w:rPr>
          <w:lang w:val="en-GB"/>
        </w:rPr>
        <w:t>The intention of this agreement is to indicate COT structure information in the frequency domain – either explicitly or implicitly – across multiple carriers and</w:t>
      </w:r>
      <w:r w:rsidR="007D5DFB">
        <w:rPr>
          <w:lang w:val="en-GB"/>
        </w:rPr>
        <w:t>/</w:t>
      </w:r>
      <w:r>
        <w:rPr>
          <w:lang w:val="en-GB"/>
        </w:rPr>
        <w:t xml:space="preserve">or sub-bands such that a UE </w:t>
      </w:r>
      <w:r w:rsidR="007D5DFB">
        <w:rPr>
          <w:lang w:val="en-GB"/>
        </w:rPr>
        <w:t>could potentially</w:t>
      </w:r>
      <w:r>
        <w:rPr>
          <w:lang w:val="en-GB"/>
        </w:rPr>
        <w:t xml:space="preserve"> achieve some </w:t>
      </w:r>
      <w:r w:rsidR="007D5DFB">
        <w:rPr>
          <w:lang w:val="en-GB"/>
        </w:rPr>
        <w:t>degree</w:t>
      </w:r>
      <w:r>
        <w:rPr>
          <w:lang w:val="en-GB"/>
        </w:rPr>
        <w:t xml:space="preserve"> of power savings</w:t>
      </w:r>
      <w:r w:rsidR="007D5DFB">
        <w:rPr>
          <w:lang w:val="en-GB"/>
        </w:rPr>
        <w:t xml:space="preserve">, e.g., by </w:t>
      </w:r>
      <w:r w:rsidR="00896E57">
        <w:rPr>
          <w:lang w:val="en-GB"/>
        </w:rPr>
        <w:t>deferring from</w:t>
      </w:r>
      <w:r w:rsidR="007D5DFB">
        <w:rPr>
          <w:lang w:val="en-GB"/>
        </w:rPr>
        <w:t xml:space="preserve"> PDCCH monitoring in certain slots or portions of slots on one or more carriers. In our view, this is a generalization of the COT structure indication discussions that are ongoing in the DL Signals and Channels AI 7.2.2.1.</w:t>
      </w:r>
      <w:r w:rsidR="00EC584E">
        <w:rPr>
          <w:lang w:val="en-GB"/>
        </w:rPr>
        <w:t>2</w:t>
      </w:r>
      <w:r w:rsidR="007D5DFB">
        <w:rPr>
          <w:lang w:val="en-GB"/>
        </w:rPr>
        <w:t xml:space="preserve"> both in terms of explicit COT structure indication based on potential enhancements of DCI Format 2_0 as well as some form of </w:t>
      </w:r>
      <w:proofErr w:type="spellStart"/>
      <w:r w:rsidR="007D5DFB">
        <w:rPr>
          <w:lang w:val="en-GB"/>
        </w:rPr>
        <w:t>gNB</w:t>
      </w:r>
      <w:proofErr w:type="spellEnd"/>
      <w:r w:rsidR="007D5DFB">
        <w:rPr>
          <w:lang w:val="en-GB"/>
        </w:rPr>
        <w:t xml:space="preserve"> DL burst detection, e.g., through detection of a (GC)-PDCCH DMRS.</w:t>
      </w:r>
    </w:p>
    <w:p w14:paraId="1D43FA29" w14:textId="172F0E17" w:rsidR="007D5DFB" w:rsidRDefault="00EC584E" w:rsidP="00B807F3">
      <w:pPr>
        <w:pStyle w:val="BodyText"/>
        <w:rPr>
          <w:lang w:val="en-GB"/>
        </w:rPr>
      </w:pPr>
      <w:r>
        <w:rPr>
          <w:lang w:val="en-GB"/>
        </w:rPr>
        <w:t xml:space="preserve">In AI 7.2.2.1.2, we make the following proposal in our contribution </w:t>
      </w:r>
      <w:r w:rsidR="00CA4DC9">
        <w:rPr>
          <w:lang w:val="en-GB"/>
        </w:rPr>
        <w:fldChar w:fldCharType="begin"/>
      </w:r>
      <w:r w:rsidR="00CA4DC9">
        <w:rPr>
          <w:lang w:val="en-GB"/>
        </w:rPr>
        <w:instrText xml:space="preserve"> REF _Ref7729425 \r \h </w:instrText>
      </w:r>
      <w:r w:rsidR="00CA4DC9">
        <w:rPr>
          <w:lang w:val="en-GB"/>
        </w:rPr>
      </w:r>
      <w:r w:rsidR="00CA4DC9">
        <w:rPr>
          <w:lang w:val="en-GB"/>
        </w:rPr>
        <w:fldChar w:fldCharType="separate"/>
      </w:r>
      <w:r w:rsidR="00CA4DC9">
        <w:rPr>
          <w:lang w:val="en-GB"/>
        </w:rPr>
        <w:t>[10]</w:t>
      </w:r>
      <w:r w:rsidR="00CA4DC9">
        <w:rPr>
          <w:lang w:val="en-GB"/>
        </w:rPr>
        <w:fldChar w:fldCharType="end"/>
      </w:r>
      <w:r w:rsidR="00CA4DC9">
        <w:rPr>
          <w:lang w:val="en-GB"/>
        </w:rPr>
        <w:t xml:space="preserve"> which is relevant for one </w:t>
      </w:r>
      <w:proofErr w:type="gramStart"/>
      <w:r w:rsidR="00CA4DC9">
        <w:rPr>
          <w:lang w:val="en-GB"/>
        </w:rPr>
        <w:t>particular carrier/</w:t>
      </w:r>
      <w:proofErr w:type="spellStart"/>
      <w:r w:rsidR="00CA4DC9">
        <w:rPr>
          <w:lang w:val="en-GB"/>
        </w:rPr>
        <w:t>subband</w:t>
      </w:r>
      <w:proofErr w:type="spellEnd"/>
      <w:proofErr w:type="gramEnd"/>
      <w:r>
        <w:rPr>
          <w:lang w:val="en-GB"/>
        </w:rPr>
        <w:t>:</w:t>
      </w:r>
    </w:p>
    <w:p w14:paraId="2E64AB6D" w14:textId="6D52D0C4" w:rsidR="00896E57" w:rsidRPr="002B28E7" w:rsidRDefault="00896E57" w:rsidP="00896E57">
      <w:pPr>
        <w:pStyle w:val="Proposal"/>
        <w:tabs>
          <w:tab w:val="num" w:pos="1304"/>
        </w:tabs>
        <w:overflowPunct w:val="0"/>
        <w:autoSpaceDE w:val="0"/>
        <w:autoSpaceDN w:val="0"/>
        <w:adjustRightInd w:val="0"/>
        <w:spacing w:line="240" w:lineRule="auto"/>
        <w:ind w:left="1304" w:hanging="1304"/>
        <w:textAlignment w:val="baseline"/>
      </w:pPr>
      <w:bookmarkStart w:id="22" w:name="_Toc7706006"/>
      <w:bookmarkStart w:id="23" w:name="_Toc7804506"/>
      <w:r w:rsidRPr="002B28E7">
        <w:t xml:space="preserve">The UE may assume the presence of GC-PDCCH and its associated DMRS </w:t>
      </w:r>
      <w:r w:rsidR="00CA4DC9" w:rsidRPr="002B28E7">
        <w:t>(on a carrier/</w:t>
      </w:r>
      <w:proofErr w:type="spellStart"/>
      <w:r w:rsidR="00CA4DC9" w:rsidRPr="002B28E7">
        <w:t>subband</w:t>
      </w:r>
      <w:proofErr w:type="spellEnd"/>
      <w:r w:rsidR="00CA4DC9" w:rsidRPr="002B28E7">
        <w:t xml:space="preserve">) </w:t>
      </w:r>
      <w:r w:rsidRPr="002B28E7">
        <w:t xml:space="preserve">in a subset of configured PDCCH monitoring occasions within the DL transmission burst by the serving </w:t>
      </w:r>
      <w:proofErr w:type="spellStart"/>
      <w:r w:rsidRPr="002B28E7">
        <w:t>gNB</w:t>
      </w:r>
      <w:proofErr w:type="spellEnd"/>
      <w:r w:rsidRPr="002B28E7">
        <w:t xml:space="preserve"> for power saving purposes.</w:t>
      </w:r>
      <w:bookmarkEnd w:id="22"/>
      <w:bookmarkEnd w:id="23"/>
    </w:p>
    <w:p w14:paraId="16406D30" w14:textId="4DF19FF2" w:rsidR="00CA4DC9" w:rsidRDefault="00CA4DC9" w:rsidP="00B807F3">
      <w:pPr>
        <w:pStyle w:val="BodyText"/>
        <w:rPr>
          <w:lang w:val="en-GB"/>
        </w:rPr>
      </w:pPr>
      <w:r>
        <w:rPr>
          <w:lang w:val="en-GB"/>
        </w:rPr>
        <w:t>w</w:t>
      </w:r>
      <w:r w:rsidR="00EC584E">
        <w:rPr>
          <w:lang w:val="en-GB"/>
        </w:rPr>
        <w:t>here the GC-PDCCH and it’s DMRS serve the dual purpose of indicating COT structure and burst detection. Generalizing this to a multi-carrier/multi-</w:t>
      </w:r>
      <w:proofErr w:type="spellStart"/>
      <w:r w:rsidR="00EC584E">
        <w:rPr>
          <w:lang w:val="en-GB"/>
        </w:rPr>
        <w:t>subband</w:t>
      </w:r>
      <w:proofErr w:type="spellEnd"/>
      <w:r w:rsidR="00EC584E">
        <w:rPr>
          <w:lang w:val="en-GB"/>
        </w:rPr>
        <w:t xml:space="preserve"> scenario is straight forward. If the UE may assume the presence of GC-PDCCH and its DMRS on each carrier/sub-band, the</w:t>
      </w:r>
      <w:r w:rsidR="002B28E7">
        <w:rPr>
          <w:lang w:val="en-GB"/>
        </w:rPr>
        <w:t>n</w:t>
      </w:r>
      <w:r w:rsidR="00EC584E">
        <w:rPr>
          <w:lang w:val="en-GB"/>
        </w:rPr>
        <w:t xml:space="preserve"> it can use this to detect which carriers/sub-bands were acquired by </w:t>
      </w:r>
      <w:r w:rsidR="004F3ED1">
        <w:rPr>
          <w:lang w:val="en-GB"/>
        </w:rPr>
        <w:t>LBT at t</w:t>
      </w:r>
      <w:r w:rsidR="00EC584E">
        <w:rPr>
          <w:lang w:val="en-GB"/>
        </w:rPr>
        <w:t xml:space="preserve">he </w:t>
      </w:r>
      <w:proofErr w:type="spellStart"/>
      <w:r w:rsidR="00EC584E">
        <w:rPr>
          <w:lang w:val="en-GB"/>
        </w:rPr>
        <w:t>gNB</w:t>
      </w:r>
      <w:proofErr w:type="spellEnd"/>
      <w:r w:rsidR="00EC584E">
        <w:rPr>
          <w:lang w:val="en-GB"/>
        </w:rPr>
        <w:t>, e.g., by detecting the presence of the DMRS</w:t>
      </w:r>
      <w:r>
        <w:rPr>
          <w:lang w:val="en-GB"/>
        </w:rPr>
        <w:t xml:space="preserve"> on each carrier/</w:t>
      </w:r>
      <w:proofErr w:type="spellStart"/>
      <w:r>
        <w:rPr>
          <w:lang w:val="en-GB"/>
        </w:rPr>
        <w:t>subband</w:t>
      </w:r>
      <w:proofErr w:type="spellEnd"/>
      <w:r>
        <w:rPr>
          <w:lang w:val="en-GB"/>
        </w:rPr>
        <w:t xml:space="preserve"> individually</w:t>
      </w:r>
      <w:r w:rsidR="00EC584E">
        <w:rPr>
          <w:lang w:val="en-GB"/>
        </w:rPr>
        <w:t>. Further, upon decoding the GC-PDDCH, the UE can learn what the slot format is for the current and one or more future slots on each carrier/sub-band</w:t>
      </w:r>
      <w:r>
        <w:rPr>
          <w:lang w:val="en-GB"/>
        </w:rPr>
        <w:t xml:space="preserve"> separately</w:t>
      </w:r>
      <w:r w:rsidR="00EC584E">
        <w:rPr>
          <w:lang w:val="en-GB"/>
        </w:rPr>
        <w:t xml:space="preserve">. </w:t>
      </w:r>
      <w:r>
        <w:rPr>
          <w:lang w:val="en-GB"/>
        </w:rPr>
        <w:t xml:space="preserve">After acquiring </w:t>
      </w:r>
      <w:r w:rsidR="00EC584E">
        <w:rPr>
          <w:lang w:val="en-GB"/>
        </w:rPr>
        <w:t xml:space="preserve">this information on all used carriers/sub-bands, the UE, may by implementation, choose to defer from PDCCH monitoring in certain slots or portions of slots on one or more carriers. As in </w:t>
      </w:r>
      <w:r>
        <w:rPr>
          <w:lang w:val="en-GB"/>
        </w:rPr>
        <w:fldChar w:fldCharType="begin"/>
      </w:r>
      <w:r>
        <w:rPr>
          <w:lang w:val="en-GB"/>
        </w:rPr>
        <w:instrText xml:space="preserve"> REF _Ref7729425 \r \h </w:instrText>
      </w:r>
      <w:r>
        <w:rPr>
          <w:lang w:val="en-GB"/>
        </w:rPr>
      </w:r>
      <w:r>
        <w:rPr>
          <w:lang w:val="en-GB"/>
        </w:rPr>
        <w:fldChar w:fldCharType="separate"/>
      </w:r>
      <w:r>
        <w:rPr>
          <w:lang w:val="en-GB"/>
        </w:rPr>
        <w:t>[10]</w:t>
      </w:r>
      <w:r>
        <w:rPr>
          <w:lang w:val="en-GB"/>
        </w:rPr>
        <w:fldChar w:fldCharType="end"/>
      </w:r>
      <w:r>
        <w:rPr>
          <w:lang w:val="en-GB"/>
        </w:rPr>
        <w:t>, we further propose that such power savings decisions are up to the UEs implementation, while still being able to meet the PDCCH detection performance requirements without relaxation:</w:t>
      </w:r>
    </w:p>
    <w:p w14:paraId="22533C0D" w14:textId="1EEBDC58" w:rsidR="00CA4DC9" w:rsidRPr="002B28E7" w:rsidRDefault="00CA4DC9" w:rsidP="00CA4DC9">
      <w:pPr>
        <w:pStyle w:val="Proposal"/>
        <w:tabs>
          <w:tab w:val="num" w:pos="1304"/>
        </w:tabs>
        <w:overflowPunct w:val="0"/>
        <w:autoSpaceDE w:val="0"/>
        <w:autoSpaceDN w:val="0"/>
        <w:adjustRightInd w:val="0"/>
        <w:spacing w:line="240" w:lineRule="auto"/>
        <w:ind w:left="1304" w:hanging="1304"/>
        <w:textAlignment w:val="baseline"/>
      </w:pPr>
      <w:bookmarkStart w:id="24" w:name="_Ref4771374"/>
      <w:bookmarkStart w:id="25" w:name="_Toc7706005"/>
      <w:bookmarkStart w:id="26" w:name="_Toc7804507"/>
      <w:r w:rsidRPr="002B28E7">
        <w:lastRenderedPageBreak/>
        <w:t>Detection of the DL Burst and/or of a COT structure (on a carrier/</w:t>
      </w:r>
      <w:proofErr w:type="spellStart"/>
      <w:r w:rsidRPr="002B28E7">
        <w:t>subband</w:t>
      </w:r>
      <w:proofErr w:type="spellEnd"/>
      <w:r w:rsidRPr="002B28E7">
        <w:t>) should not relax the requirements of NR Rel-15 PDCCH monitoring.</w:t>
      </w:r>
      <w:bookmarkEnd w:id="24"/>
      <w:bookmarkEnd w:id="25"/>
      <w:bookmarkEnd w:id="26"/>
      <w:r w:rsidRPr="002B28E7">
        <w:t xml:space="preserve"> </w:t>
      </w:r>
    </w:p>
    <w:p w14:paraId="42C4531F" w14:textId="0B3DE22A" w:rsidR="00CA4DC9" w:rsidRDefault="00CA4DC9" w:rsidP="00B807F3">
      <w:pPr>
        <w:pStyle w:val="BodyText"/>
        <w:rPr>
          <w:lang w:val="en-GB"/>
        </w:rPr>
      </w:pPr>
      <w:r>
        <w:rPr>
          <w:lang w:val="en-GB"/>
        </w:rPr>
        <w:t xml:space="preserve">In our view, there is not a necessity for some sort of “cross-carrier” indication of COT structure. Since the </w:t>
      </w:r>
      <w:proofErr w:type="spellStart"/>
      <w:r>
        <w:rPr>
          <w:lang w:val="en-GB"/>
        </w:rPr>
        <w:t>gNB</w:t>
      </w:r>
      <w:proofErr w:type="spellEnd"/>
      <w:r>
        <w:rPr>
          <w:lang w:val="en-GB"/>
        </w:rPr>
        <w:t xml:space="preserve"> does not know in advance which carriers/</w:t>
      </w:r>
      <w:r w:rsidR="00041F8A">
        <w:rPr>
          <w:lang w:val="en-GB"/>
        </w:rPr>
        <w:t>sub-bands</w:t>
      </w:r>
      <w:r>
        <w:rPr>
          <w:lang w:val="en-GB"/>
        </w:rPr>
        <w:t xml:space="preserve"> will pass LBT, it would need to prepare multiple sets of cross-carrier COT structure information. For example, with 4 carriers, it would need to prepare a COT structure information set from carrier/</w:t>
      </w:r>
      <w:proofErr w:type="spellStart"/>
      <w:r>
        <w:rPr>
          <w:lang w:val="en-GB"/>
        </w:rPr>
        <w:t>subband</w:t>
      </w:r>
      <w:proofErr w:type="spellEnd"/>
      <w:r>
        <w:rPr>
          <w:lang w:val="en-GB"/>
        </w:rPr>
        <w:t xml:space="preserve"> 1 to carriers/</w:t>
      </w:r>
      <w:r w:rsidR="00041F8A">
        <w:rPr>
          <w:lang w:val="en-GB"/>
        </w:rPr>
        <w:t>sub-bands</w:t>
      </w:r>
      <w:r>
        <w:rPr>
          <w:lang w:val="en-GB"/>
        </w:rPr>
        <w:t xml:space="preserve"> 2,3, and 4, and from carrier/</w:t>
      </w:r>
      <w:proofErr w:type="spellStart"/>
      <w:r>
        <w:rPr>
          <w:lang w:val="en-GB"/>
        </w:rPr>
        <w:t>subband</w:t>
      </w:r>
      <w:proofErr w:type="spellEnd"/>
      <w:r>
        <w:rPr>
          <w:lang w:val="en-GB"/>
        </w:rPr>
        <w:t xml:space="preserve"> 2 to carriers/</w:t>
      </w:r>
      <w:r w:rsidR="00041F8A">
        <w:rPr>
          <w:lang w:val="en-GB"/>
        </w:rPr>
        <w:t>sub-bands</w:t>
      </w:r>
      <w:r>
        <w:rPr>
          <w:lang w:val="en-GB"/>
        </w:rPr>
        <w:t xml:space="preserve"> 1, 3, and 4, and so on. Then, the appropriate set would be transmitted on one or more carriers</w:t>
      </w:r>
      <w:r w:rsidR="00577C91">
        <w:rPr>
          <w:lang w:val="en-GB"/>
        </w:rPr>
        <w:t>/</w:t>
      </w:r>
      <w:r w:rsidR="00041F8A">
        <w:rPr>
          <w:lang w:val="en-GB"/>
        </w:rPr>
        <w:t>sub-bands</w:t>
      </w:r>
      <w:r>
        <w:rPr>
          <w:lang w:val="en-GB"/>
        </w:rPr>
        <w:t xml:space="preserve"> </w:t>
      </w:r>
      <w:r w:rsidR="00577C91">
        <w:rPr>
          <w:lang w:val="en-GB"/>
        </w:rPr>
        <w:t>for which LBT is successful.</w:t>
      </w:r>
    </w:p>
    <w:p w14:paraId="178FD721" w14:textId="63BAFB66" w:rsidR="00577C91" w:rsidRDefault="004F3ED1" w:rsidP="00B807F3">
      <w:pPr>
        <w:pStyle w:val="BodyText"/>
        <w:rPr>
          <w:lang w:val="en-GB"/>
        </w:rPr>
      </w:pPr>
      <w:r>
        <w:rPr>
          <w:lang w:val="en-GB"/>
        </w:rPr>
        <w:t>Such an</w:t>
      </w:r>
      <w:r w:rsidR="00577C91">
        <w:rPr>
          <w:lang w:val="en-GB"/>
        </w:rPr>
        <w:t xml:space="preserve"> approach suffers from unnecessary overhead. Being able to indicate the COT structure information cross carrier does not provide anything more than indicating it on a per-carrier/</w:t>
      </w:r>
      <w:proofErr w:type="spellStart"/>
      <w:r w:rsidR="00577C91">
        <w:rPr>
          <w:lang w:val="en-GB"/>
        </w:rPr>
        <w:t>subband</w:t>
      </w:r>
      <w:proofErr w:type="spellEnd"/>
      <w:r w:rsidR="00577C91">
        <w:rPr>
          <w:lang w:val="en-GB"/>
        </w:rPr>
        <w:t xml:space="preserve"> basis specific only to that carrier/</w:t>
      </w:r>
      <w:proofErr w:type="spellStart"/>
      <w:r w:rsidR="00577C91">
        <w:rPr>
          <w:lang w:val="en-GB"/>
        </w:rPr>
        <w:t>subband</w:t>
      </w:r>
      <w:proofErr w:type="spellEnd"/>
      <w:r w:rsidR="00577C91">
        <w:rPr>
          <w:lang w:val="en-GB"/>
        </w:rPr>
        <w:t xml:space="preserve">. Moreover, it is more robust, since if one GC-PDCCH happens to be missed, not </w:t>
      </w:r>
      <w:proofErr w:type="gramStart"/>
      <w:r w:rsidR="00577C91">
        <w:rPr>
          <w:lang w:val="en-GB"/>
        </w:rPr>
        <w:t>all of</w:t>
      </w:r>
      <w:proofErr w:type="gramEnd"/>
      <w:r w:rsidR="00577C91">
        <w:rPr>
          <w:lang w:val="en-GB"/>
        </w:rPr>
        <w:t xml:space="preserve"> the COT structure information is missed. With this approach, the UE can aggregate all information it receives </w:t>
      </w:r>
      <w:r>
        <w:rPr>
          <w:lang w:val="en-GB"/>
        </w:rPr>
        <w:t>separately on</w:t>
      </w:r>
      <w:r w:rsidR="00577C91">
        <w:rPr>
          <w:lang w:val="en-GB"/>
        </w:rPr>
        <w:t xml:space="preserve"> multiple carriers/</w:t>
      </w:r>
      <w:r w:rsidR="00041F8A">
        <w:rPr>
          <w:lang w:val="en-GB"/>
        </w:rPr>
        <w:t>sub-bands</w:t>
      </w:r>
      <w:r w:rsidR="00577C91">
        <w:rPr>
          <w:lang w:val="en-GB"/>
        </w:rPr>
        <w:t xml:space="preserve"> and make power saving decisions by implementation.</w:t>
      </w:r>
    </w:p>
    <w:p w14:paraId="6381BFAE" w14:textId="4E986E05" w:rsidR="00577C91" w:rsidRDefault="00577C91" w:rsidP="00B807F3">
      <w:pPr>
        <w:pStyle w:val="BodyText"/>
        <w:rPr>
          <w:lang w:val="en-GB"/>
        </w:rPr>
      </w:pPr>
      <w:r>
        <w:rPr>
          <w:lang w:val="en-GB"/>
        </w:rPr>
        <w:t>Based on this discussion, we propose Option 3 from the above agreement</w:t>
      </w:r>
      <w:r w:rsidR="007C4E08">
        <w:rPr>
          <w:lang w:val="en-GB"/>
        </w:rPr>
        <w:t>. Furthermore, we suggest that additional progress is made on COT structure indication (even for just a single carrier) in the DL Signals and Channels AI 7.2.2.1.2 before further details for the multi-carrier/</w:t>
      </w:r>
      <w:proofErr w:type="spellStart"/>
      <w:r w:rsidR="007C4E08">
        <w:rPr>
          <w:lang w:val="en-GB"/>
        </w:rPr>
        <w:t>subband</w:t>
      </w:r>
      <w:proofErr w:type="spellEnd"/>
      <w:r w:rsidR="007C4E08">
        <w:rPr>
          <w:lang w:val="en-GB"/>
        </w:rPr>
        <w:t xml:space="preserve"> case are settled.</w:t>
      </w:r>
    </w:p>
    <w:p w14:paraId="230D3402" w14:textId="65BE3BC6" w:rsidR="00577C91" w:rsidRDefault="00577C91" w:rsidP="00577C91">
      <w:pPr>
        <w:pStyle w:val="Proposal"/>
        <w:rPr>
          <w:lang w:val="en-GB"/>
        </w:rPr>
      </w:pPr>
      <w:bookmarkStart w:id="27" w:name="_Toc7804508"/>
      <w:r>
        <w:rPr>
          <w:lang w:val="en-GB"/>
        </w:rPr>
        <w:t xml:space="preserve">The UE may detect that a </w:t>
      </w:r>
      <w:proofErr w:type="spellStart"/>
      <w:r>
        <w:rPr>
          <w:lang w:val="en-GB"/>
        </w:rPr>
        <w:t>gNB</w:t>
      </w:r>
      <w:proofErr w:type="spellEnd"/>
      <w:r>
        <w:rPr>
          <w:lang w:val="en-GB"/>
        </w:rPr>
        <w:t xml:space="preserve"> is transmitting across multiple carriers/multiple LBT bandwidths in a carrier via UE implementation, i.e., implicit method based on an NR-based signal (Option 3 in the RAN1#96b agreement). </w:t>
      </w:r>
      <w:r w:rsidR="007C4E08">
        <w:rPr>
          <w:lang w:val="en-GB"/>
        </w:rPr>
        <w:t xml:space="preserve">FFS: Further details on COT structure indication and DL </w:t>
      </w:r>
      <w:proofErr w:type="spellStart"/>
      <w:r w:rsidR="007C4E08">
        <w:rPr>
          <w:lang w:val="en-GB"/>
        </w:rPr>
        <w:t>gNB</w:t>
      </w:r>
      <w:proofErr w:type="spellEnd"/>
      <w:r w:rsidR="007C4E08">
        <w:rPr>
          <w:lang w:val="en-GB"/>
        </w:rPr>
        <w:t xml:space="preserve"> burst detection are needed before further progress can be made on this topic for wideband operation.</w:t>
      </w:r>
      <w:bookmarkEnd w:id="27"/>
      <w:r w:rsidR="007C4E08">
        <w:rPr>
          <w:lang w:val="en-GB"/>
        </w:rPr>
        <w:t xml:space="preserve"> </w:t>
      </w:r>
    </w:p>
    <w:p w14:paraId="2403E0D8" w14:textId="3A484C76" w:rsidR="006C41F3" w:rsidRDefault="00ED44DC" w:rsidP="00E62187">
      <w:pPr>
        <w:pStyle w:val="Heading1"/>
      </w:pPr>
      <w:r>
        <w:t>5</w:t>
      </w:r>
      <w:r w:rsidR="003035E0">
        <w:tab/>
      </w:r>
      <w:r w:rsidR="00B324D9">
        <w:t>Preferred Way Forward</w:t>
      </w:r>
    </w:p>
    <w:p w14:paraId="54205E86" w14:textId="256A8BE6" w:rsidR="00AF5BEE" w:rsidRPr="002B28E7" w:rsidRDefault="000766AF" w:rsidP="000962B9">
      <w:pPr>
        <w:pStyle w:val="BodyText"/>
      </w:pPr>
      <w:r w:rsidRPr="002B28E7">
        <w:t>As we have discussed above, there are RAN4 and RAN2 dependencies on establishing a working specification of Wideband Mode 2</w:t>
      </w:r>
      <w:r w:rsidR="00215B3D" w:rsidRPr="002B28E7">
        <w:t xml:space="preserve"> (WB2)</w:t>
      </w:r>
      <w:r w:rsidRPr="002B28E7">
        <w:t xml:space="preserve"> for the case where channel puncturing occurs. </w:t>
      </w:r>
      <w:r w:rsidR="00E2191D" w:rsidRPr="002B28E7">
        <w:t>Furthermore</w:t>
      </w:r>
      <w:r w:rsidRPr="002B28E7">
        <w:t xml:space="preserve">, it has been </w:t>
      </w:r>
      <w:r w:rsidR="00E2191D" w:rsidRPr="002B28E7">
        <w:t xml:space="preserve">observed that the gain in spectral utilization of WB2 is zero compared to WB1 (CA of carriers in which </w:t>
      </w:r>
      <w:r w:rsidR="00AF5BEE" w:rsidRPr="002B28E7">
        <w:t xml:space="preserve">CBW = LBW), and that adoption of Wi-Fi like (20 </w:t>
      </w:r>
      <w:proofErr w:type="spellStart"/>
      <w:r w:rsidR="00AF5BEE" w:rsidRPr="002B28E7">
        <w:t>dBr</w:t>
      </w:r>
      <w:proofErr w:type="spellEnd"/>
      <w:r w:rsidR="00AF5BEE" w:rsidRPr="002B28E7">
        <w:t>) RF requirements has the potential to harm coexistence with existing LTE-LAA deployments.</w:t>
      </w:r>
    </w:p>
    <w:p w14:paraId="6FB9FA4F" w14:textId="15607774" w:rsidR="00B63395" w:rsidRPr="002B28E7" w:rsidRDefault="00215B3D" w:rsidP="000962B9">
      <w:pPr>
        <w:pStyle w:val="BodyText"/>
      </w:pPr>
      <w:r w:rsidRPr="002B28E7">
        <w:t xml:space="preserve">For operation in the 5 GHz band </w:t>
      </w:r>
      <w:r w:rsidR="009912EB" w:rsidRPr="002B28E7">
        <w:t>where it is quite likely that LBT can fail on</w:t>
      </w:r>
      <w:r w:rsidR="005633D6" w:rsidRPr="002B28E7">
        <w:t xml:space="preserve"> individual 20 MHz channels, </w:t>
      </w:r>
      <w:r w:rsidR="000766AF" w:rsidRPr="002B28E7">
        <w:t xml:space="preserve">Wideband Mode 1 (CA-based operation) </w:t>
      </w:r>
      <w:r w:rsidRPr="002B28E7">
        <w:t>makes the most sense since</w:t>
      </w:r>
      <w:r w:rsidR="00AF5BEE" w:rsidRPr="002B28E7">
        <w:t xml:space="preserve"> due to existence concerns with deployed LTE-LAA. Moreover, s</w:t>
      </w:r>
      <w:r w:rsidR="005633D6" w:rsidRPr="002B28E7">
        <w:t xml:space="preserve">ince RAN4 specifications </w:t>
      </w:r>
      <w:r w:rsidR="007A71B5" w:rsidRPr="002B28E7">
        <w:t xml:space="preserve">on CACLR and blocking </w:t>
      </w:r>
      <w:r w:rsidR="00AD2999" w:rsidRPr="002B28E7">
        <w:t>for both contiguous and non-contiguous</w:t>
      </w:r>
      <w:r w:rsidR="009E5421" w:rsidRPr="002B28E7">
        <w:t xml:space="preserve"> intra-band operation have </w:t>
      </w:r>
      <w:r w:rsidR="005633D6" w:rsidRPr="002B28E7">
        <w:t>already been developed for this</w:t>
      </w:r>
      <w:r w:rsidR="00BA1C8F" w:rsidRPr="002B28E7">
        <w:t xml:space="preserve"> mode</w:t>
      </w:r>
      <w:r w:rsidR="005633D6" w:rsidRPr="002B28E7">
        <w:t xml:space="preserve"> </w:t>
      </w:r>
      <w:r w:rsidR="007A71B5" w:rsidRPr="002B28E7">
        <w:t>for LTE-LAA</w:t>
      </w:r>
      <w:r w:rsidR="005D1E04" w:rsidRPr="002B28E7">
        <w:t xml:space="preserve"> for Band 46</w:t>
      </w:r>
      <w:r w:rsidR="007A71B5" w:rsidRPr="002B28E7">
        <w:t xml:space="preserve">, the amount of </w:t>
      </w:r>
      <w:r w:rsidR="00D64359" w:rsidRPr="002B28E7">
        <w:t xml:space="preserve">RAN4 </w:t>
      </w:r>
      <w:r w:rsidR="007A71B5" w:rsidRPr="002B28E7">
        <w:t xml:space="preserve">work is minimal to port these specifications </w:t>
      </w:r>
      <w:r w:rsidR="002133A3" w:rsidRPr="002B28E7">
        <w:t>to</w:t>
      </w:r>
      <w:r w:rsidR="007A71B5" w:rsidRPr="002B28E7">
        <w:t xml:space="preserve"> NR-U</w:t>
      </w:r>
      <w:r w:rsidR="005D1E04" w:rsidRPr="002B28E7">
        <w:t xml:space="preserve"> in the corresponding band, e.g., n46.</w:t>
      </w:r>
    </w:p>
    <w:p w14:paraId="10BD7658" w14:textId="3878C12E" w:rsidR="00AF5BEE" w:rsidRPr="002B28E7" w:rsidRDefault="00BA1C8F" w:rsidP="00AF5BEE">
      <w:pPr>
        <w:pStyle w:val="BodyText"/>
      </w:pPr>
      <w:r w:rsidRPr="002B28E7">
        <w:t>In new bands, e.g., 6 GHz,</w:t>
      </w:r>
      <w:r w:rsidR="00AF5BEE" w:rsidRPr="002B28E7">
        <w:t xml:space="preserve"> where a large fraction of devices </w:t>
      </w:r>
      <w:proofErr w:type="gramStart"/>
      <w:r w:rsidR="00AF5BEE" w:rsidRPr="002B28E7">
        <w:t>are</w:t>
      </w:r>
      <w:proofErr w:type="gramEnd"/>
      <w:r w:rsidR="00AF5BEE" w:rsidRPr="002B28E7">
        <w:t xml:space="preserve"> expected to operate with wider bandwidths, it is less likely that LBT will fail on individual 20 MHz channels within a wideband carrier. In this case, Wideband Mode 2 where transmission occurs only when LBT is successful in all LBT sub-bands (Mode 2-1) is </w:t>
      </w:r>
      <w:proofErr w:type="gramStart"/>
      <w:r w:rsidR="00AF5BEE" w:rsidRPr="002B28E7">
        <w:t>practical, and</w:t>
      </w:r>
      <w:proofErr w:type="gramEnd"/>
      <w:r w:rsidR="00AF5BEE" w:rsidRPr="002B28E7">
        <w:t xml:space="preserve"> does not require specification of new RF requirements. In this case, aggregation of multiple wideband carriers is feasible, e.g., 320 MHz may be achieved with configuration of four 80 MHz carriers.</w:t>
      </w:r>
    </w:p>
    <w:p w14:paraId="7D32FD06" w14:textId="7F12DE73" w:rsidR="00C45A5C" w:rsidRDefault="00120464" w:rsidP="000962B9">
      <w:pPr>
        <w:pStyle w:val="BodyText"/>
      </w:pPr>
      <w:r w:rsidRPr="002B28E7">
        <w:t xml:space="preserve">Based on </w:t>
      </w:r>
      <w:r w:rsidR="009D27D6" w:rsidRPr="002B28E7">
        <w:t>the above</w:t>
      </w:r>
      <w:r w:rsidRPr="002B28E7">
        <w:t xml:space="preserve"> argument</w:t>
      </w:r>
      <w:r w:rsidR="009D27D6" w:rsidRPr="002B28E7">
        <w:t>s</w:t>
      </w:r>
      <w:r w:rsidRPr="002B28E7">
        <w:t xml:space="preserve">, our view is that support of </w:t>
      </w:r>
      <w:r w:rsidR="00215B3D" w:rsidRPr="002B28E7">
        <w:t xml:space="preserve">WB2 with </w:t>
      </w:r>
      <w:r w:rsidRPr="002B28E7">
        <w:t xml:space="preserve">channel puncturing is an optimization that </w:t>
      </w:r>
      <w:r w:rsidR="009103DD" w:rsidRPr="002B28E7">
        <w:t>could</w:t>
      </w:r>
      <w:r w:rsidRPr="002B28E7">
        <w:t xml:space="preserve"> be considered in </w:t>
      </w:r>
      <w:r w:rsidR="009103DD" w:rsidRPr="002B28E7">
        <w:t xml:space="preserve">a </w:t>
      </w:r>
      <w:r w:rsidRPr="002B28E7">
        <w:t>later release</w:t>
      </w:r>
      <w:r w:rsidR="000B5FD0" w:rsidRPr="002B28E7">
        <w:t xml:space="preserve"> of NR-U</w:t>
      </w:r>
      <w:r w:rsidR="007B6D1E">
        <w:t>, provided that regulatory requirements are met</w:t>
      </w:r>
      <w:r w:rsidR="007941DC" w:rsidRPr="002B28E7">
        <w:t xml:space="preserve">. </w:t>
      </w:r>
      <w:r w:rsidR="00215B3D" w:rsidRPr="002B28E7">
        <w:t>In our view, RAN</w:t>
      </w:r>
      <w:r w:rsidR="001C28BA" w:rsidRPr="002B28E7">
        <w:t>1 and</w:t>
      </w:r>
      <w:r w:rsidR="00215B3D" w:rsidRPr="002B28E7">
        <w:t xml:space="preserve"> 4</w:t>
      </w:r>
      <w:r w:rsidRPr="002B28E7">
        <w:t xml:space="preserve"> should </w:t>
      </w:r>
      <w:r w:rsidR="00D53768" w:rsidRPr="002B28E7">
        <w:t>prioritize</w:t>
      </w:r>
      <w:r w:rsidRPr="002B28E7">
        <w:t xml:space="preserve"> </w:t>
      </w:r>
      <w:r w:rsidR="001375E5" w:rsidRPr="002B28E7">
        <w:t>develop</w:t>
      </w:r>
      <w:r w:rsidR="00D53768" w:rsidRPr="002B28E7">
        <w:t>ment of</w:t>
      </w:r>
      <w:r w:rsidR="001375E5" w:rsidRPr="002B28E7">
        <w:t xml:space="preserve"> specifications for </w:t>
      </w:r>
      <w:r w:rsidR="00215B3D" w:rsidRPr="002B28E7">
        <w:t>WB1</w:t>
      </w:r>
      <w:r w:rsidR="007941DC" w:rsidRPr="002B28E7">
        <w:t xml:space="preserve"> and WB2 with no channel puncturing (LBT successful in all </w:t>
      </w:r>
      <w:r w:rsidR="00041F8A">
        <w:t>sub-bands</w:t>
      </w:r>
      <w:r w:rsidR="007941DC" w:rsidRPr="002B28E7">
        <w:t>)</w:t>
      </w:r>
      <w:r w:rsidR="000B5FD0" w:rsidRPr="002B28E7">
        <w:t xml:space="preserve">. </w:t>
      </w:r>
      <w:r w:rsidR="007941DC" w:rsidRPr="002B28E7">
        <w:t xml:space="preserve">With these modes of </w:t>
      </w:r>
      <w:r w:rsidR="007941DC" w:rsidRPr="002B28E7">
        <w:lastRenderedPageBreak/>
        <w:t xml:space="preserve">operation, aggregation of </w:t>
      </w:r>
      <w:r w:rsidR="000B5FD0" w:rsidRPr="002B28E7">
        <w:t xml:space="preserve">20 MHz carriers in the 5 GHz band and </w:t>
      </w:r>
      <w:r w:rsidR="007941DC" w:rsidRPr="002B28E7">
        <w:t xml:space="preserve">aggregation of </w:t>
      </w:r>
      <w:r w:rsidR="000B5FD0" w:rsidRPr="002B28E7">
        <w:t xml:space="preserve">wider carriers in </w:t>
      </w:r>
      <w:r w:rsidR="007941DC" w:rsidRPr="002B28E7">
        <w:t xml:space="preserve">the 6 GHz band are covered. </w:t>
      </w:r>
      <w:r w:rsidR="007941DC">
        <w:t>Based on this we propose the following:</w:t>
      </w:r>
    </w:p>
    <w:p w14:paraId="30906582" w14:textId="36D61871" w:rsidR="007941DC" w:rsidRPr="002B28E7" w:rsidRDefault="00D62A2A" w:rsidP="0071280B">
      <w:pPr>
        <w:pStyle w:val="Proposal"/>
      </w:pPr>
      <w:bookmarkStart w:id="28" w:name="_Toc7804509"/>
      <w:r w:rsidRPr="002B28E7">
        <w:t xml:space="preserve">In both DL and UL, RAN1 and RAN4 </w:t>
      </w:r>
      <w:r w:rsidR="007C198D" w:rsidRPr="002B28E7">
        <w:t xml:space="preserve">should prioritize </w:t>
      </w:r>
      <w:r w:rsidRPr="002B28E7">
        <w:t>develop</w:t>
      </w:r>
      <w:r w:rsidR="007C198D" w:rsidRPr="002B28E7">
        <w:t>ment</w:t>
      </w:r>
      <w:r w:rsidRPr="002B28E7">
        <w:t xml:space="preserve"> </w:t>
      </w:r>
      <w:r w:rsidR="007C198D" w:rsidRPr="002B28E7">
        <w:t xml:space="preserve">of </w:t>
      </w:r>
      <w:r w:rsidRPr="002B28E7">
        <w:t xml:space="preserve">specifications </w:t>
      </w:r>
      <w:r w:rsidR="00D95F9F">
        <w:t xml:space="preserve">for </w:t>
      </w:r>
      <w:r w:rsidR="007941DC" w:rsidRPr="002B28E7">
        <w:t xml:space="preserve">the following two carrier aggregation modes: (1) </w:t>
      </w:r>
      <w:r w:rsidR="001C28BA" w:rsidRPr="002B28E7">
        <w:t>Wideband Mode 1, i.e., where the carrier bandwidth (CBW) is equal to the LBT bandwidth (LBW)</w:t>
      </w:r>
      <w:r w:rsidR="007941DC" w:rsidRPr="002B28E7">
        <w:t xml:space="preserve">; and (2) Wideband Mode 2, i.e., where CBW &gt; LBW, but transmission occurs on a carrier only when LBT is successful in all </w:t>
      </w:r>
      <w:r w:rsidR="00041F8A">
        <w:t>sub-bands</w:t>
      </w:r>
      <w:r w:rsidR="007941DC" w:rsidRPr="002B28E7">
        <w:t xml:space="preserve"> of the carrier.</w:t>
      </w:r>
      <w:bookmarkEnd w:id="28"/>
    </w:p>
    <w:p w14:paraId="02AF552A" w14:textId="6BD69597" w:rsidR="007941DC" w:rsidRPr="002B28E7" w:rsidRDefault="007941DC" w:rsidP="0071280B">
      <w:pPr>
        <w:pStyle w:val="Proposal"/>
      </w:pPr>
      <w:bookmarkStart w:id="29" w:name="_Toc7804510"/>
      <w:r w:rsidRPr="002B28E7">
        <w:t>Wideband Mode 2 (CBW &gt; LBW) with channel puncturing is an optimization that can be considered in Rel-17</w:t>
      </w:r>
      <w:r w:rsidR="007B6D1E">
        <w:t xml:space="preserve"> assuming regulatory requirements are met.</w:t>
      </w:r>
      <w:bookmarkEnd w:id="29"/>
    </w:p>
    <w:p w14:paraId="269573C7" w14:textId="55413C27" w:rsidR="00C01F33" w:rsidRPr="00CE0424" w:rsidRDefault="00C01F33" w:rsidP="00CE0424">
      <w:pPr>
        <w:pStyle w:val="Heading1"/>
      </w:pPr>
      <w:r w:rsidRPr="00CE0424">
        <w:t>Conclusion</w:t>
      </w:r>
    </w:p>
    <w:p w14:paraId="4E87633F" w14:textId="6CE311B1" w:rsidR="008E065E" w:rsidRPr="002B28E7" w:rsidRDefault="008E065E" w:rsidP="008E065E">
      <w:pPr>
        <w:pStyle w:val="BodyText"/>
        <w:rPr>
          <w:b/>
          <w:bCs/>
        </w:rPr>
      </w:pPr>
      <w:r w:rsidRPr="002B28E7">
        <w:t xml:space="preserve">In </w:t>
      </w:r>
      <w:r w:rsidR="00F75255" w:rsidRPr="002B28E7">
        <w:t>this paper</w:t>
      </w:r>
      <w:r w:rsidRPr="002B28E7">
        <w:t xml:space="preserve"> we made the following observations:</w:t>
      </w:r>
      <w:r w:rsidR="00C93814" w:rsidRPr="002B28E7">
        <w:rPr>
          <w:b/>
          <w:bCs/>
        </w:rPr>
        <w:t xml:space="preserve"> </w:t>
      </w:r>
    </w:p>
    <w:p w14:paraId="3378E5E7" w14:textId="0E585647" w:rsidR="001B354F" w:rsidRDefault="006F6582">
      <w:pPr>
        <w:pStyle w:val="TableofFigures"/>
        <w:tabs>
          <w:tab w:val="right" w:leader="dot" w:pos="9629"/>
        </w:tabs>
        <w:rPr>
          <w:rFonts w:asciiTheme="minorHAnsi" w:eastAsiaTheme="minorEastAsia" w:hAnsiTheme="minorHAnsi"/>
          <w:b w:val="0"/>
          <w:noProof/>
          <w:lang w:eastAsia="en-US"/>
        </w:rPr>
      </w:pPr>
      <w:r>
        <w:rPr>
          <w:bCs/>
        </w:rPr>
        <w:fldChar w:fldCharType="begin"/>
      </w:r>
      <w:r>
        <w:rPr>
          <w:bCs/>
        </w:rPr>
        <w:instrText xml:space="preserve"> TOC \f O \n \h \z \t "Observation" \c </w:instrText>
      </w:r>
      <w:r>
        <w:rPr>
          <w:bCs/>
        </w:rPr>
        <w:fldChar w:fldCharType="separate"/>
      </w:r>
      <w:hyperlink w:anchor="_Toc7804493" w:history="1">
        <w:r w:rsidR="001B354F" w:rsidRPr="00500366">
          <w:rPr>
            <w:rStyle w:val="Hyperlink"/>
            <w:noProof/>
          </w:rPr>
          <w:t>Observation 1</w:t>
        </w:r>
        <w:r w:rsidR="001B354F">
          <w:rPr>
            <w:rFonts w:asciiTheme="minorHAnsi" w:eastAsiaTheme="minorEastAsia" w:hAnsiTheme="minorHAnsi"/>
            <w:b w:val="0"/>
            <w:noProof/>
            <w:lang w:eastAsia="en-US"/>
          </w:rPr>
          <w:tab/>
        </w:r>
        <w:r w:rsidR="001B354F" w:rsidRPr="00500366">
          <w:rPr>
            <w:rStyle w:val="Hyperlink"/>
            <w:noProof/>
          </w:rPr>
          <w:t>The feasibility of WB2 (Modes 2&amp;3) is dependent on guard bands not being scheduled and relaxed RF requirements for in-carrier leakage being defined, e.g., 20 dBr Wi-Fi like requirements.</w:t>
        </w:r>
      </w:hyperlink>
    </w:p>
    <w:p w14:paraId="4018A6A9" w14:textId="0C839EB1" w:rsidR="001B354F" w:rsidRDefault="00813424">
      <w:pPr>
        <w:pStyle w:val="TableofFigures"/>
        <w:tabs>
          <w:tab w:val="right" w:leader="dot" w:pos="9629"/>
        </w:tabs>
        <w:rPr>
          <w:rFonts w:asciiTheme="minorHAnsi" w:eastAsiaTheme="minorEastAsia" w:hAnsiTheme="minorHAnsi"/>
          <w:b w:val="0"/>
          <w:noProof/>
          <w:lang w:eastAsia="en-US"/>
        </w:rPr>
      </w:pPr>
      <w:hyperlink w:anchor="_Toc7804494" w:history="1">
        <w:r w:rsidR="001B354F" w:rsidRPr="00500366">
          <w:rPr>
            <w:rStyle w:val="Hyperlink"/>
            <w:noProof/>
          </w:rPr>
          <w:t>Observation 2</w:t>
        </w:r>
        <w:r w:rsidR="001B354F">
          <w:rPr>
            <w:rFonts w:asciiTheme="minorHAnsi" w:eastAsiaTheme="minorEastAsia" w:hAnsiTheme="minorHAnsi"/>
            <w:b w:val="0"/>
            <w:noProof/>
            <w:lang w:eastAsia="en-US"/>
          </w:rPr>
          <w:tab/>
        </w:r>
        <w:r w:rsidR="001B354F" w:rsidRPr="00500366">
          <w:rPr>
            <w:rStyle w:val="Hyperlink"/>
            <w:noProof/>
          </w:rPr>
          <w:t>WB2 operation may have a non-trivial impact on MAC layer procedures and RRC signaling.</w:t>
        </w:r>
      </w:hyperlink>
    </w:p>
    <w:p w14:paraId="0CBE6FC6" w14:textId="2E1C4D1A" w:rsidR="001B354F" w:rsidRDefault="00813424">
      <w:pPr>
        <w:pStyle w:val="TableofFigures"/>
        <w:tabs>
          <w:tab w:val="right" w:leader="dot" w:pos="9629"/>
        </w:tabs>
        <w:rPr>
          <w:rFonts w:asciiTheme="minorHAnsi" w:eastAsiaTheme="minorEastAsia" w:hAnsiTheme="minorHAnsi"/>
          <w:b w:val="0"/>
          <w:noProof/>
          <w:lang w:eastAsia="en-US"/>
        </w:rPr>
      </w:pPr>
      <w:hyperlink w:anchor="_Toc7804495" w:history="1">
        <w:r w:rsidR="001B354F" w:rsidRPr="00500366">
          <w:rPr>
            <w:rStyle w:val="Hyperlink"/>
            <w:noProof/>
          </w:rPr>
          <w:t>Observation 3</w:t>
        </w:r>
        <w:r w:rsidR="001B354F">
          <w:rPr>
            <w:rFonts w:asciiTheme="minorHAnsi" w:eastAsiaTheme="minorEastAsia" w:hAnsiTheme="minorHAnsi"/>
            <w:b w:val="0"/>
            <w:noProof/>
            <w:lang w:eastAsia="en-US"/>
          </w:rPr>
          <w:tab/>
        </w:r>
        <w:r w:rsidR="001B354F" w:rsidRPr="00500366">
          <w:rPr>
            <w:rStyle w:val="Hyperlink"/>
            <w:noProof/>
          </w:rPr>
          <w:t>Based on the LS reply from RAN4 in [6], the gain in spectral utilization for WB2 compared to WB1 is zero.</w:t>
        </w:r>
      </w:hyperlink>
    </w:p>
    <w:p w14:paraId="00D2B242" w14:textId="75BE7B0A" w:rsidR="001B354F" w:rsidRDefault="00813424">
      <w:pPr>
        <w:pStyle w:val="TableofFigures"/>
        <w:tabs>
          <w:tab w:val="right" w:leader="dot" w:pos="9629"/>
        </w:tabs>
        <w:rPr>
          <w:rFonts w:asciiTheme="minorHAnsi" w:eastAsiaTheme="minorEastAsia" w:hAnsiTheme="minorHAnsi"/>
          <w:b w:val="0"/>
          <w:noProof/>
          <w:lang w:eastAsia="en-US"/>
        </w:rPr>
      </w:pPr>
      <w:hyperlink w:anchor="_Toc7804496" w:history="1">
        <w:r w:rsidR="001B354F" w:rsidRPr="00500366">
          <w:rPr>
            <w:rStyle w:val="Hyperlink"/>
            <w:noProof/>
          </w:rPr>
          <w:t>Observation 4</w:t>
        </w:r>
        <w:r w:rsidR="001B354F">
          <w:rPr>
            <w:rFonts w:asciiTheme="minorHAnsi" w:eastAsiaTheme="minorEastAsia" w:hAnsiTheme="minorHAnsi"/>
            <w:b w:val="0"/>
            <w:noProof/>
            <w:lang w:eastAsia="en-US"/>
          </w:rPr>
          <w:tab/>
        </w:r>
        <w:r w:rsidR="001B354F" w:rsidRPr="00500366">
          <w:rPr>
            <w:rStyle w:val="Hyperlink"/>
            <w:noProof/>
          </w:rPr>
          <w:t>Equipment only compliant with the Wi-Fi preamble-punctured channel emissions mask is not compliant with the ETSI harmonized standard for Modes 2 and 3 defined in the RAN4 LS [6].</w:t>
        </w:r>
      </w:hyperlink>
    </w:p>
    <w:p w14:paraId="2E0D51B7" w14:textId="6A7B4999" w:rsidR="001B354F" w:rsidRDefault="00813424">
      <w:pPr>
        <w:pStyle w:val="TableofFigures"/>
        <w:tabs>
          <w:tab w:val="right" w:leader="dot" w:pos="9629"/>
        </w:tabs>
        <w:rPr>
          <w:rFonts w:asciiTheme="minorHAnsi" w:eastAsiaTheme="minorEastAsia" w:hAnsiTheme="minorHAnsi"/>
          <w:b w:val="0"/>
          <w:noProof/>
          <w:lang w:eastAsia="en-US"/>
        </w:rPr>
      </w:pPr>
      <w:hyperlink w:anchor="_Toc7804497" w:history="1">
        <w:r w:rsidR="001B354F" w:rsidRPr="00500366">
          <w:rPr>
            <w:rStyle w:val="Hyperlink"/>
            <w:noProof/>
          </w:rPr>
          <w:t>Observation 5</w:t>
        </w:r>
        <w:r w:rsidR="001B354F">
          <w:rPr>
            <w:rFonts w:asciiTheme="minorHAnsi" w:eastAsiaTheme="minorEastAsia" w:hAnsiTheme="minorHAnsi"/>
            <w:b w:val="0"/>
            <w:noProof/>
            <w:lang w:eastAsia="en-US"/>
          </w:rPr>
          <w:tab/>
        </w:r>
        <w:r w:rsidR="001B354F" w:rsidRPr="00500366">
          <w:rPr>
            <w:rStyle w:val="Hyperlink"/>
            <w:noProof/>
          </w:rPr>
          <w:t>The overall ETSI spectral emission mask is satisfied for Mode 1 defined in the RAN4 LS [6], i.e., when transmission occurs if LBT is successful in all LBT sub-bands, i.e., no channel puncturing.</w:t>
        </w:r>
      </w:hyperlink>
    </w:p>
    <w:p w14:paraId="500494C0" w14:textId="5E18343D" w:rsidR="001B354F" w:rsidRDefault="00813424">
      <w:pPr>
        <w:pStyle w:val="TableofFigures"/>
        <w:tabs>
          <w:tab w:val="right" w:leader="dot" w:pos="9629"/>
        </w:tabs>
        <w:rPr>
          <w:rFonts w:asciiTheme="minorHAnsi" w:eastAsiaTheme="minorEastAsia" w:hAnsiTheme="minorHAnsi"/>
          <w:b w:val="0"/>
          <w:noProof/>
          <w:lang w:eastAsia="en-US"/>
        </w:rPr>
      </w:pPr>
      <w:hyperlink w:anchor="_Toc7804498" w:history="1">
        <w:r w:rsidR="001B354F" w:rsidRPr="00500366">
          <w:rPr>
            <w:rStyle w:val="Hyperlink"/>
            <w:noProof/>
          </w:rPr>
          <w:t>Observation 6</w:t>
        </w:r>
        <w:r w:rsidR="001B354F">
          <w:rPr>
            <w:rFonts w:asciiTheme="minorHAnsi" w:eastAsiaTheme="minorEastAsia" w:hAnsiTheme="minorHAnsi"/>
            <w:b w:val="0"/>
            <w:noProof/>
            <w:lang w:eastAsia="en-US"/>
          </w:rPr>
          <w:tab/>
        </w:r>
        <w:r w:rsidR="001B354F" w:rsidRPr="00500366">
          <w:rPr>
            <w:rStyle w:val="Hyperlink"/>
            <w:noProof/>
          </w:rPr>
          <w:t>If NR-U adopts Wi-Fi like (20 dBr) RF requirements for spectral emission masks, LTE-LAA/NR-U coexistence may be harmed.</w:t>
        </w:r>
      </w:hyperlink>
    </w:p>
    <w:p w14:paraId="5ACB62BA" w14:textId="45AF174B" w:rsidR="001B354F" w:rsidRDefault="00813424">
      <w:pPr>
        <w:pStyle w:val="TableofFigures"/>
        <w:tabs>
          <w:tab w:val="right" w:leader="dot" w:pos="9629"/>
        </w:tabs>
        <w:rPr>
          <w:rFonts w:asciiTheme="minorHAnsi" w:eastAsiaTheme="minorEastAsia" w:hAnsiTheme="minorHAnsi"/>
          <w:b w:val="0"/>
          <w:noProof/>
          <w:lang w:eastAsia="en-US"/>
        </w:rPr>
      </w:pPr>
      <w:hyperlink w:anchor="_Toc7804499" w:history="1">
        <w:r w:rsidR="001B354F" w:rsidRPr="00500366">
          <w:rPr>
            <w:rStyle w:val="Hyperlink"/>
            <w:noProof/>
            <w:spacing w:val="2"/>
            <w:lang w:eastAsia="en-US"/>
          </w:rPr>
          <w:t>Observation 7</w:t>
        </w:r>
        <w:r w:rsidR="001B354F">
          <w:rPr>
            <w:rFonts w:asciiTheme="minorHAnsi" w:eastAsiaTheme="minorEastAsia" w:hAnsiTheme="minorHAnsi"/>
            <w:b w:val="0"/>
            <w:noProof/>
            <w:lang w:eastAsia="en-US"/>
          </w:rPr>
          <w:tab/>
        </w:r>
        <w:r w:rsidR="001B354F" w:rsidRPr="00500366">
          <w:rPr>
            <w:rStyle w:val="Hyperlink"/>
            <w:noProof/>
            <w:spacing w:val="2"/>
            <w:lang w:eastAsia="en-US"/>
          </w:rPr>
          <w:t>For WB2, puncturing/rate matching around LBT sub-bands where CCA fails may cause PDSCH/PUSCH decoding failure which can adversely impact contention window sizes.</w:t>
        </w:r>
      </w:hyperlink>
    </w:p>
    <w:p w14:paraId="6449A13A" w14:textId="6CFCA5FE" w:rsidR="006E1C82" w:rsidRPr="002B28E7" w:rsidRDefault="006F6582" w:rsidP="006E1C82">
      <w:pPr>
        <w:pStyle w:val="BodyText"/>
      </w:pPr>
      <w:r>
        <w:rPr>
          <w:b/>
          <w:bCs/>
        </w:rPr>
        <w:fldChar w:fldCharType="end"/>
      </w:r>
      <w:r w:rsidR="008E065E" w:rsidRPr="002B28E7">
        <w:t xml:space="preserve">Based on the discussion </w:t>
      </w:r>
      <w:r w:rsidR="00F75255" w:rsidRPr="002B28E7">
        <w:t>in this paper</w:t>
      </w:r>
      <w:r w:rsidR="008E065E" w:rsidRPr="002B28E7">
        <w:t xml:space="preserve"> we propose the following:</w:t>
      </w:r>
    </w:p>
    <w:p w14:paraId="43C0A1D6" w14:textId="53CF7C23" w:rsidR="001B354F"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7804500" w:history="1">
        <w:r w:rsidR="001B354F" w:rsidRPr="008723A4">
          <w:rPr>
            <w:rStyle w:val="Hyperlink"/>
            <w:noProof/>
          </w:rPr>
          <w:t>Proposal 1</w:t>
        </w:r>
        <w:r w:rsidR="001B354F">
          <w:rPr>
            <w:rFonts w:asciiTheme="minorHAnsi" w:eastAsiaTheme="minorEastAsia" w:hAnsiTheme="minorHAnsi"/>
            <w:b w:val="0"/>
            <w:noProof/>
            <w:lang w:eastAsia="en-US"/>
          </w:rPr>
          <w:tab/>
        </w:r>
        <w:r w:rsidR="001B354F" w:rsidRPr="008723A4">
          <w:rPr>
            <w:rStyle w:val="Hyperlink"/>
            <w:noProof/>
          </w:rPr>
          <w:t>For the purposes of discussion, two wideband modes with carrier aggregation are defined as follows:</w:t>
        </w:r>
      </w:hyperlink>
    </w:p>
    <w:p w14:paraId="500D7073" w14:textId="239ECBE5" w:rsidR="001B354F" w:rsidRDefault="00813424">
      <w:pPr>
        <w:pStyle w:val="TableofFigures"/>
        <w:tabs>
          <w:tab w:val="right" w:leader="dot" w:pos="9629"/>
        </w:tabs>
        <w:rPr>
          <w:rFonts w:asciiTheme="minorHAnsi" w:eastAsiaTheme="minorEastAsia" w:hAnsiTheme="minorHAnsi"/>
          <w:b w:val="0"/>
          <w:noProof/>
          <w:lang w:eastAsia="en-US"/>
        </w:rPr>
      </w:pPr>
      <w:hyperlink w:anchor="_Toc7804501" w:history="1">
        <w:r w:rsidR="001B354F" w:rsidRPr="008723A4">
          <w:rPr>
            <w:rStyle w:val="Hyperlink"/>
            <w:rFonts w:ascii="Symbol" w:hAnsi="Symbol"/>
            <w:noProof/>
          </w:rPr>
          <w:t></w:t>
        </w:r>
        <w:r w:rsidR="001B354F">
          <w:rPr>
            <w:rFonts w:asciiTheme="minorHAnsi" w:eastAsiaTheme="minorEastAsia" w:hAnsiTheme="minorHAnsi"/>
            <w:b w:val="0"/>
            <w:noProof/>
            <w:lang w:eastAsia="en-US"/>
          </w:rPr>
          <w:tab/>
        </w:r>
        <w:r w:rsidR="001B354F" w:rsidRPr="008723A4">
          <w:rPr>
            <w:rStyle w:val="Hyperlink"/>
            <w:noProof/>
          </w:rPr>
          <w:t>Wideband Mode 1 (WB1):</w:t>
        </w:r>
      </w:hyperlink>
    </w:p>
    <w:p w14:paraId="2E9FCBB0" w14:textId="1FF1B6B1" w:rsidR="001B354F" w:rsidRDefault="00813424">
      <w:pPr>
        <w:pStyle w:val="TableofFigures"/>
        <w:tabs>
          <w:tab w:val="right" w:leader="dot" w:pos="9629"/>
        </w:tabs>
        <w:rPr>
          <w:rFonts w:asciiTheme="minorHAnsi" w:eastAsiaTheme="minorEastAsia" w:hAnsiTheme="minorHAnsi"/>
          <w:b w:val="0"/>
          <w:noProof/>
          <w:lang w:eastAsia="en-US"/>
        </w:rPr>
      </w:pPr>
      <w:hyperlink w:anchor="_Toc7804502" w:history="1">
        <w:r w:rsidR="001B354F" w:rsidRPr="008723A4">
          <w:rPr>
            <w:rStyle w:val="Hyperlink"/>
            <w:rFonts w:ascii="Courier New" w:hAnsi="Courier New" w:cs="Courier New"/>
            <w:noProof/>
          </w:rPr>
          <w:t>o</w:t>
        </w:r>
        <w:r w:rsidR="001B354F">
          <w:rPr>
            <w:rFonts w:asciiTheme="minorHAnsi" w:eastAsiaTheme="minorEastAsia" w:hAnsiTheme="minorHAnsi"/>
            <w:b w:val="0"/>
            <w:noProof/>
            <w:lang w:eastAsia="en-US"/>
          </w:rPr>
          <w:tab/>
        </w:r>
        <w:r w:rsidR="001B354F" w:rsidRPr="008723A4">
          <w:rPr>
            <w:rStyle w:val="Hyperlink"/>
            <w:noProof/>
          </w:rPr>
          <w:t>Carrier bandwidth is equal to the LBT bandwidth (CBW = LBW)</w:t>
        </w:r>
      </w:hyperlink>
    </w:p>
    <w:p w14:paraId="4355E598" w14:textId="1CBB8254" w:rsidR="001B354F" w:rsidRDefault="00813424">
      <w:pPr>
        <w:pStyle w:val="TableofFigures"/>
        <w:tabs>
          <w:tab w:val="right" w:leader="dot" w:pos="9629"/>
        </w:tabs>
        <w:rPr>
          <w:rFonts w:asciiTheme="minorHAnsi" w:eastAsiaTheme="minorEastAsia" w:hAnsiTheme="minorHAnsi"/>
          <w:b w:val="0"/>
          <w:noProof/>
          <w:lang w:eastAsia="en-US"/>
        </w:rPr>
      </w:pPr>
      <w:hyperlink w:anchor="_Toc7804503" w:history="1">
        <w:r w:rsidR="001B354F" w:rsidRPr="008723A4">
          <w:rPr>
            <w:rStyle w:val="Hyperlink"/>
            <w:rFonts w:ascii="Symbol" w:hAnsi="Symbol"/>
            <w:noProof/>
          </w:rPr>
          <w:t></w:t>
        </w:r>
        <w:r w:rsidR="001B354F">
          <w:rPr>
            <w:rFonts w:asciiTheme="minorHAnsi" w:eastAsiaTheme="minorEastAsia" w:hAnsiTheme="minorHAnsi"/>
            <w:b w:val="0"/>
            <w:noProof/>
            <w:lang w:eastAsia="en-US"/>
          </w:rPr>
          <w:tab/>
        </w:r>
        <w:r w:rsidR="001B354F" w:rsidRPr="008723A4">
          <w:rPr>
            <w:rStyle w:val="Hyperlink"/>
            <w:noProof/>
          </w:rPr>
          <w:t>Wideband Mode 2 (WB2):</w:t>
        </w:r>
      </w:hyperlink>
    </w:p>
    <w:p w14:paraId="5155DD12" w14:textId="34E94537" w:rsidR="001B354F" w:rsidRDefault="00813424">
      <w:pPr>
        <w:pStyle w:val="TableofFigures"/>
        <w:tabs>
          <w:tab w:val="right" w:leader="dot" w:pos="9629"/>
        </w:tabs>
        <w:rPr>
          <w:rFonts w:asciiTheme="minorHAnsi" w:eastAsiaTheme="minorEastAsia" w:hAnsiTheme="minorHAnsi"/>
          <w:b w:val="0"/>
          <w:noProof/>
          <w:lang w:eastAsia="en-US"/>
        </w:rPr>
      </w:pPr>
      <w:hyperlink w:anchor="_Toc7804504" w:history="1">
        <w:r w:rsidR="001B354F" w:rsidRPr="008723A4">
          <w:rPr>
            <w:rStyle w:val="Hyperlink"/>
            <w:rFonts w:ascii="Courier New" w:hAnsi="Courier New" w:cs="Courier New"/>
            <w:noProof/>
          </w:rPr>
          <w:t>o</w:t>
        </w:r>
        <w:r w:rsidR="001B354F">
          <w:rPr>
            <w:rFonts w:asciiTheme="minorHAnsi" w:eastAsiaTheme="minorEastAsia" w:hAnsiTheme="minorHAnsi"/>
            <w:b w:val="0"/>
            <w:noProof/>
            <w:lang w:eastAsia="en-US"/>
          </w:rPr>
          <w:tab/>
        </w:r>
        <w:r w:rsidR="001B354F" w:rsidRPr="008723A4">
          <w:rPr>
            <w:rStyle w:val="Hyperlink"/>
            <w:noProof/>
          </w:rPr>
          <w:t>Carrier bandwidth is greater than the LBT bandwidth (CBW &gt; LBW)</w:t>
        </w:r>
      </w:hyperlink>
    </w:p>
    <w:p w14:paraId="660EE81C" w14:textId="517490AB" w:rsidR="001B354F" w:rsidRDefault="00813424">
      <w:pPr>
        <w:pStyle w:val="TableofFigures"/>
        <w:tabs>
          <w:tab w:val="right" w:leader="dot" w:pos="9629"/>
        </w:tabs>
        <w:rPr>
          <w:rFonts w:asciiTheme="minorHAnsi" w:eastAsiaTheme="minorEastAsia" w:hAnsiTheme="minorHAnsi"/>
          <w:b w:val="0"/>
          <w:noProof/>
          <w:lang w:eastAsia="en-US"/>
        </w:rPr>
      </w:pPr>
      <w:hyperlink w:anchor="_Toc7804505" w:history="1">
        <w:r w:rsidR="001B354F" w:rsidRPr="008723A4">
          <w:rPr>
            <w:rStyle w:val="Hyperlink"/>
            <w:rFonts w:ascii="Courier New" w:hAnsi="Courier New" w:cs="Courier New"/>
            <w:noProof/>
          </w:rPr>
          <w:t>o</w:t>
        </w:r>
        <w:r w:rsidR="001B354F">
          <w:rPr>
            <w:rFonts w:asciiTheme="minorHAnsi" w:eastAsiaTheme="minorEastAsia" w:hAnsiTheme="minorHAnsi"/>
            <w:b w:val="0"/>
            <w:noProof/>
            <w:lang w:eastAsia="en-US"/>
          </w:rPr>
          <w:tab/>
        </w:r>
        <w:r w:rsidR="001B354F" w:rsidRPr="008723A4">
          <w:rPr>
            <w:rStyle w:val="Hyperlink"/>
            <w:noProof/>
          </w:rPr>
          <w:t>A carrier consists of multiple LBT sub-bands, each of bandwidth LBW</w:t>
        </w:r>
      </w:hyperlink>
    </w:p>
    <w:p w14:paraId="64EB5B94" w14:textId="207839BB" w:rsidR="001B354F" w:rsidRDefault="00813424">
      <w:pPr>
        <w:pStyle w:val="TableofFigures"/>
        <w:tabs>
          <w:tab w:val="right" w:leader="dot" w:pos="9629"/>
        </w:tabs>
        <w:rPr>
          <w:rFonts w:asciiTheme="minorHAnsi" w:eastAsiaTheme="minorEastAsia" w:hAnsiTheme="minorHAnsi"/>
          <w:b w:val="0"/>
          <w:noProof/>
          <w:lang w:eastAsia="en-US"/>
        </w:rPr>
      </w:pPr>
      <w:hyperlink w:anchor="_Toc7804506" w:history="1">
        <w:r w:rsidR="001B354F" w:rsidRPr="008723A4">
          <w:rPr>
            <w:rStyle w:val="Hyperlink"/>
            <w:noProof/>
          </w:rPr>
          <w:t>Proposal 2</w:t>
        </w:r>
        <w:r w:rsidR="001B354F">
          <w:rPr>
            <w:rFonts w:asciiTheme="minorHAnsi" w:eastAsiaTheme="minorEastAsia" w:hAnsiTheme="minorHAnsi"/>
            <w:b w:val="0"/>
            <w:noProof/>
            <w:lang w:eastAsia="en-US"/>
          </w:rPr>
          <w:tab/>
        </w:r>
        <w:r w:rsidR="001B354F" w:rsidRPr="008723A4">
          <w:rPr>
            <w:rStyle w:val="Hyperlink"/>
            <w:noProof/>
          </w:rPr>
          <w:t xml:space="preserve">The UE may assume the presence of GC-PDCCH and its associated DMRS (on a carrier/subband) in a subset of configured PDCCH monitoring </w:t>
        </w:r>
        <w:r w:rsidR="001B354F" w:rsidRPr="008723A4">
          <w:rPr>
            <w:rStyle w:val="Hyperlink"/>
            <w:noProof/>
          </w:rPr>
          <w:lastRenderedPageBreak/>
          <w:t>occasions within the DL transmission burst by the serving gNB for power saving purposes.</w:t>
        </w:r>
      </w:hyperlink>
    </w:p>
    <w:p w14:paraId="34251BB3" w14:textId="4FF95439" w:rsidR="001B354F" w:rsidRDefault="00813424">
      <w:pPr>
        <w:pStyle w:val="TableofFigures"/>
        <w:tabs>
          <w:tab w:val="right" w:leader="dot" w:pos="9629"/>
        </w:tabs>
        <w:rPr>
          <w:rFonts w:asciiTheme="minorHAnsi" w:eastAsiaTheme="minorEastAsia" w:hAnsiTheme="minorHAnsi"/>
          <w:b w:val="0"/>
          <w:noProof/>
          <w:lang w:eastAsia="en-US"/>
        </w:rPr>
      </w:pPr>
      <w:hyperlink w:anchor="_Toc7804507" w:history="1">
        <w:r w:rsidR="001B354F" w:rsidRPr="008723A4">
          <w:rPr>
            <w:rStyle w:val="Hyperlink"/>
            <w:noProof/>
          </w:rPr>
          <w:t>Proposal 3</w:t>
        </w:r>
        <w:r w:rsidR="001B354F">
          <w:rPr>
            <w:rFonts w:asciiTheme="minorHAnsi" w:eastAsiaTheme="minorEastAsia" w:hAnsiTheme="minorHAnsi"/>
            <w:b w:val="0"/>
            <w:noProof/>
            <w:lang w:eastAsia="en-US"/>
          </w:rPr>
          <w:tab/>
        </w:r>
        <w:r w:rsidR="001B354F" w:rsidRPr="008723A4">
          <w:rPr>
            <w:rStyle w:val="Hyperlink"/>
            <w:noProof/>
          </w:rPr>
          <w:t>Detection of the DL Burst and/or of a COT structure (on a carrier/subband) should not relax the requirements of NR Rel-15 PDCCH monitoring.</w:t>
        </w:r>
      </w:hyperlink>
    </w:p>
    <w:p w14:paraId="0EA48131" w14:textId="2B26B645" w:rsidR="001B354F" w:rsidRDefault="00813424">
      <w:pPr>
        <w:pStyle w:val="TableofFigures"/>
        <w:tabs>
          <w:tab w:val="right" w:leader="dot" w:pos="9629"/>
        </w:tabs>
        <w:rPr>
          <w:rFonts w:asciiTheme="minorHAnsi" w:eastAsiaTheme="minorEastAsia" w:hAnsiTheme="minorHAnsi"/>
          <w:b w:val="0"/>
          <w:noProof/>
          <w:lang w:eastAsia="en-US"/>
        </w:rPr>
      </w:pPr>
      <w:hyperlink w:anchor="_Toc7804508" w:history="1">
        <w:r w:rsidR="001B354F" w:rsidRPr="008723A4">
          <w:rPr>
            <w:rStyle w:val="Hyperlink"/>
            <w:noProof/>
            <w:lang w:val="en-GB"/>
          </w:rPr>
          <w:t>Proposal 4</w:t>
        </w:r>
        <w:r w:rsidR="001B354F">
          <w:rPr>
            <w:rFonts w:asciiTheme="minorHAnsi" w:eastAsiaTheme="minorEastAsia" w:hAnsiTheme="minorHAnsi"/>
            <w:b w:val="0"/>
            <w:noProof/>
            <w:lang w:eastAsia="en-US"/>
          </w:rPr>
          <w:tab/>
        </w:r>
        <w:r w:rsidR="001B354F" w:rsidRPr="008723A4">
          <w:rPr>
            <w:rStyle w:val="Hyperlink"/>
            <w:noProof/>
            <w:lang w:val="en-GB"/>
          </w:rPr>
          <w:t>The UE may detect that a gNB is transmitting across multiple carriers/multiple LBT bandwidths in a carrier via UE implementation, i.e., implicit method based on an NR-based signal (Option 3 in the RAN1#96b agreement). FFS: Further details on COT structure indication and DL gNB burst detection are needed before further progress can be made on this topic for wideband operation.</w:t>
        </w:r>
      </w:hyperlink>
    </w:p>
    <w:p w14:paraId="57FCDC23" w14:textId="22A475C9" w:rsidR="001B354F" w:rsidRDefault="00813424">
      <w:pPr>
        <w:pStyle w:val="TableofFigures"/>
        <w:tabs>
          <w:tab w:val="right" w:leader="dot" w:pos="9629"/>
        </w:tabs>
        <w:rPr>
          <w:rFonts w:asciiTheme="minorHAnsi" w:eastAsiaTheme="minorEastAsia" w:hAnsiTheme="minorHAnsi"/>
          <w:b w:val="0"/>
          <w:noProof/>
          <w:lang w:eastAsia="en-US"/>
        </w:rPr>
      </w:pPr>
      <w:hyperlink w:anchor="_Toc7804509" w:history="1">
        <w:r w:rsidR="001B354F" w:rsidRPr="008723A4">
          <w:rPr>
            <w:rStyle w:val="Hyperlink"/>
            <w:noProof/>
          </w:rPr>
          <w:t>Proposal 5</w:t>
        </w:r>
        <w:r w:rsidR="001B354F">
          <w:rPr>
            <w:rFonts w:asciiTheme="minorHAnsi" w:eastAsiaTheme="minorEastAsia" w:hAnsiTheme="minorHAnsi"/>
            <w:b w:val="0"/>
            <w:noProof/>
            <w:lang w:eastAsia="en-US"/>
          </w:rPr>
          <w:tab/>
        </w:r>
        <w:r w:rsidR="001B354F" w:rsidRPr="008723A4">
          <w:rPr>
            <w:rStyle w:val="Hyperlink"/>
            <w:noProof/>
          </w:rPr>
          <w:t>In both DL and UL, RAN1 and RAN4 should prioritize development of specifications for the following two carrier aggregation modes: (1) Wideband Mode 1, i.e., where the carrier bandwidth (CBW) is equal to the LBT bandwidth (LBW); and (2) Wideband Mode 2, i.e., where CBW &gt; LBW, but transmission occurs on a carrier only when LBT is successful in all sub-bands of the carrier.</w:t>
        </w:r>
      </w:hyperlink>
    </w:p>
    <w:p w14:paraId="1A96126B" w14:textId="3E3B36B9" w:rsidR="001B354F" w:rsidRDefault="00813424">
      <w:pPr>
        <w:pStyle w:val="TableofFigures"/>
        <w:tabs>
          <w:tab w:val="right" w:leader="dot" w:pos="9629"/>
        </w:tabs>
        <w:rPr>
          <w:rFonts w:asciiTheme="minorHAnsi" w:eastAsiaTheme="minorEastAsia" w:hAnsiTheme="minorHAnsi"/>
          <w:b w:val="0"/>
          <w:noProof/>
          <w:lang w:eastAsia="en-US"/>
        </w:rPr>
      </w:pPr>
      <w:hyperlink w:anchor="_Toc7804510" w:history="1">
        <w:r w:rsidR="001B354F" w:rsidRPr="008723A4">
          <w:rPr>
            <w:rStyle w:val="Hyperlink"/>
            <w:noProof/>
          </w:rPr>
          <w:t>Proposal 6</w:t>
        </w:r>
        <w:r w:rsidR="001B354F">
          <w:rPr>
            <w:rFonts w:asciiTheme="minorHAnsi" w:eastAsiaTheme="minorEastAsia" w:hAnsiTheme="minorHAnsi"/>
            <w:b w:val="0"/>
            <w:noProof/>
            <w:lang w:eastAsia="en-US"/>
          </w:rPr>
          <w:tab/>
        </w:r>
        <w:r w:rsidR="001B354F" w:rsidRPr="008723A4">
          <w:rPr>
            <w:rStyle w:val="Hyperlink"/>
            <w:noProof/>
          </w:rPr>
          <w:t>Wideband Mode 2 (CBW &gt; LBW) with channel puncturing is an optimization that can be considered in Rel-17 assuming regulatory requirements are met.</w:t>
        </w:r>
      </w:hyperlink>
    </w:p>
    <w:p w14:paraId="29E5F4E6" w14:textId="00E3F1D1" w:rsidR="00C01F33" w:rsidRPr="001F0FA7" w:rsidRDefault="006E1C82" w:rsidP="001F0FA7">
      <w:pPr>
        <w:pStyle w:val="BodyText"/>
        <w:rPr>
          <w:b/>
          <w:bCs/>
        </w:rPr>
      </w:pPr>
      <w:r>
        <w:rPr>
          <w:b/>
          <w:bCs/>
        </w:rPr>
        <w:fldChar w:fldCharType="end"/>
      </w:r>
    </w:p>
    <w:p w14:paraId="75F0F757" w14:textId="77777777" w:rsidR="00F507D1" w:rsidRPr="00CE0424" w:rsidRDefault="00F507D1" w:rsidP="00CE0424">
      <w:pPr>
        <w:pStyle w:val="Heading1"/>
      </w:pPr>
      <w:bookmarkStart w:id="30" w:name="_In-sequence_SDU_delivery"/>
      <w:bookmarkEnd w:id="30"/>
      <w:r w:rsidRPr="00CE0424">
        <w:t>References</w:t>
      </w:r>
    </w:p>
    <w:p w14:paraId="0F5657BD" w14:textId="10EFFC73" w:rsidR="002A74D5" w:rsidRPr="002B28E7" w:rsidRDefault="002A74D5" w:rsidP="002A74D5">
      <w:pPr>
        <w:pStyle w:val="Reference"/>
      </w:pPr>
      <w:bookmarkStart w:id="31" w:name="_Ref1131178"/>
      <w:bookmarkStart w:id="32" w:name="_Ref534127550"/>
      <w:bookmarkStart w:id="33" w:name="_Ref525732218"/>
      <w:bookmarkStart w:id="34" w:name="_Ref525647225"/>
      <w:r w:rsidRPr="002B28E7">
        <w:t>RP-182878, “New WID on NR-based Access to Unlicensed Spectrum,” Qualcomm, RAN#82, December 2018.</w:t>
      </w:r>
    </w:p>
    <w:p w14:paraId="61B4946D" w14:textId="6B232A79" w:rsidR="00953262" w:rsidRPr="002B28E7" w:rsidRDefault="00953262" w:rsidP="00953262">
      <w:pPr>
        <w:pStyle w:val="Reference"/>
      </w:pPr>
      <w:bookmarkStart w:id="35" w:name="_Ref534117348"/>
      <w:r w:rsidRPr="002B28E7">
        <w:t>3GPP TR 38.889, “Study on NR-based access to unlicensed spectrum,” v16.0.0, December 2018.</w:t>
      </w:r>
      <w:bookmarkEnd w:id="35"/>
    </w:p>
    <w:p w14:paraId="38B36301" w14:textId="094D60DE" w:rsidR="00BE598B" w:rsidRPr="002B28E7" w:rsidRDefault="00EC5D3D" w:rsidP="00BE598B">
      <w:pPr>
        <w:pStyle w:val="Reference"/>
      </w:pPr>
      <w:bookmarkStart w:id="36" w:name="_Ref525666947"/>
      <w:bookmarkStart w:id="37" w:name="_Ref4753619"/>
      <w:bookmarkStart w:id="38" w:name="_Ref1136318"/>
      <w:r w:rsidRPr="002B28E7">
        <w:t>R1-1812026</w:t>
      </w:r>
      <w:r w:rsidR="00BE598B" w:rsidRPr="002B28E7">
        <w:t>, “</w:t>
      </w:r>
      <w:r w:rsidR="00BE598B" w:rsidRPr="002B28E7">
        <w:rPr>
          <w:lang w:eastAsia="x-none"/>
        </w:rPr>
        <w:t>LS on wideband carrier operation for NR-U</w:t>
      </w:r>
      <w:r w:rsidR="00BE598B" w:rsidRPr="002B28E7">
        <w:t>,” RAN1, RAN1#94b, October 2018.</w:t>
      </w:r>
      <w:bookmarkEnd w:id="36"/>
      <w:bookmarkEnd w:id="37"/>
    </w:p>
    <w:p w14:paraId="4DF55CC3" w14:textId="36390181" w:rsidR="00BE598B" w:rsidRPr="002B28E7" w:rsidRDefault="00BE598B" w:rsidP="00BE598B">
      <w:pPr>
        <w:pStyle w:val="Reference"/>
      </w:pPr>
      <w:bookmarkStart w:id="39" w:name="_Ref4754607"/>
      <w:r w:rsidRPr="002B28E7">
        <w:t>R1-1900008, “</w:t>
      </w:r>
      <w:bookmarkStart w:id="40" w:name="_Hlk503517020"/>
      <w:r w:rsidRPr="002B28E7">
        <w:rPr>
          <w:rFonts w:cs="Arial"/>
        </w:rPr>
        <w:t>Reply LS on wideband carrier operation for NR-U</w:t>
      </w:r>
      <w:bookmarkEnd w:id="40"/>
      <w:r w:rsidR="00492506" w:rsidRPr="002B28E7">
        <w:rPr>
          <w:rFonts w:cs="Arial"/>
        </w:rPr>
        <w:t>,” RAN4, RAN1#AH1901, January 2019.</w:t>
      </w:r>
      <w:bookmarkEnd w:id="39"/>
    </w:p>
    <w:p w14:paraId="33FC42FE" w14:textId="5AA89B90" w:rsidR="00492506" w:rsidRPr="002B28E7" w:rsidRDefault="00492506" w:rsidP="000962B9">
      <w:pPr>
        <w:pStyle w:val="Reference"/>
      </w:pPr>
      <w:bookmarkStart w:id="41" w:name="_Ref4755824"/>
      <w:bookmarkEnd w:id="31"/>
      <w:bookmarkEnd w:id="38"/>
      <w:r w:rsidRPr="002B28E7">
        <w:t>R1-1903845, “</w:t>
      </w:r>
      <w:r w:rsidRPr="002B28E7">
        <w:rPr>
          <w:rFonts w:cs="Arial"/>
        </w:rPr>
        <w:t>Reply LS on wideband carrier operation for NR-U,” RAN4, RAN1#96b, April 2019.</w:t>
      </w:r>
      <w:bookmarkEnd w:id="41"/>
    </w:p>
    <w:p w14:paraId="1164DB47" w14:textId="40E55FF0" w:rsidR="00891464" w:rsidRPr="002B28E7" w:rsidRDefault="00891464" w:rsidP="000962B9">
      <w:pPr>
        <w:pStyle w:val="Reference"/>
      </w:pPr>
      <w:bookmarkStart w:id="42" w:name="_Ref7709648"/>
      <w:r w:rsidRPr="002B28E7">
        <w:t>R1-1905930, “</w:t>
      </w:r>
      <w:r w:rsidRPr="002B28E7">
        <w:rPr>
          <w:rFonts w:cs="Arial"/>
        </w:rPr>
        <w:t>LS reply on wideband carrier operation for NR-U,” RAN4, RAN1#97, May 2019.</w:t>
      </w:r>
      <w:bookmarkEnd w:id="42"/>
    </w:p>
    <w:p w14:paraId="310D0DD7" w14:textId="404C8DBA" w:rsidR="00434F70" w:rsidRPr="002B28E7" w:rsidRDefault="00B273B4" w:rsidP="00CA0922">
      <w:pPr>
        <w:pStyle w:val="Reference"/>
      </w:pPr>
      <w:bookmarkStart w:id="43" w:name="_Ref4760194"/>
      <w:r w:rsidRPr="007B6D1E">
        <w:t>R2-190</w:t>
      </w:r>
      <w:r w:rsidR="007B6D1E" w:rsidRPr="007B6D1E">
        <w:t>7592</w:t>
      </w:r>
      <w:r w:rsidRPr="007B6D1E">
        <w:t>,</w:t>
      </w:r>
      <w:r w:rsidRPr="002B28E7">
        <w:t xml:space="preserve"> “</w:t>
      </w:r>
      <w:r w:rsidR="000C35BD" w:rsidRPr="002B28E7">
        <w:t>RAN2 impact for wideband operation in NR-U</w:t>
      </w:r>
      <w:r w:rsidRPr="002B28E7">
        <w:t>,” Ericsson, RAN2#105b, April 2019.</w:t>
      </w:r>
      <w:bookmarkEnd w:id="43"/>
      <w:bookmarkEnd w:id="32"/>
      <w:bookmarkEnd w:id="33"/>
      <w:bookmarkEnd w:id="34"/>
    </w:p>
    <w:p w14:paraId="3DDFFB9F" w14:textId="6125CD36" w:rsidR="00C008D6" w:rsidRPr="002B28E7" w:rsidRDefault="00C008D6" w:rsidP="00CA0922">
      <w:pPr>
        <w:pStyle w:val="Reference"/>
      </w:pPr>
      <w:bookmarkStart w:id="44" w:name="_Ref7716718"/>
      <w:r w:rsidRPr="002B28E7">
        <w:t xml:space="preserve">R4-1900664, “BS requirements on wideband carrier operation for NR-U,” Huawei, RAN4#90, </w:t>
      </w:r>
      <w:proofErr w:type="spellStart"/>
      <w:r w:rsidRPr="002B28E7">
        <w:t>Februrary</w:t>
      </w:r>
      <w:proofErr w:type="spellEnd"/>
      <w:r w:rsidRPr="002B28E7">
        <w:t xml:space="preserve"> 2019.</w:t>
      </w:r>
      <w:bookmarkEnd w:id="44"/>
    </w:p>
    <w:p w14:paraId="7C80B14D" w14:textId="676CB065" w:rsidR="00EC584E" w:rsidRPr="002B28E7" w:rsidRDefault="00EC584E" w:rsidP="00CA0922">
      <w:pPr>
        <w:pStyle w:val="Reference"/>
      </w:pPr>
      <w:bookmarkStart w:id="45" w:name="_Ref7729425"/>
      <w:r w:rsidRPr="007B6D1E">
        <w:rPr>
          <w:color w:val="000000"/>
          <w:szCs w:val="28"/>
        </w:rPr>
        <w:t>R1-190</w:t>
      </w:r>
      <w:r w:rsidR="007B6D1E" w:rsidRPr="007B6D1E">
        <w:rPr>
          <w:color w:val="000000"/>
          <w:szCs w:val="28"/>
        </w:rPr>
        <w:t>7452</w:t>
      </w:r>
      <w:r w:rsidRPr="007B6D1E">
        <w:rPr>
          <w:color w:val="000000"/>
          <w:szCs w:val="28"/>
        </w:rPr>
        <w:t>, “</w:t>
      </w:r>
      <w:r w:rsidRPr="002B28E7">
        <w:rPr>
          <w:color w:val="000000"/>
          <w:szCs w:val="28"/>
        </w:rPr>
        <w:t>DL signals and channels for NR-U,” Ericsson, RAN1#97, May 2019.</w:t>
      </w:r>
      <w:bookmarkEnd w:id="45"/>
    </w:p>
    <w:sectPr w:rsidR="00EC584E" w:rsidRPr="002B28E7"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0FA59" w14:textId="77777777" w:rsidR="00AF5BEE" w:rsidRDefault="00AF5BEE">
      <w:r>
        <w:separator/>
      </w:r>
    </w:p>
  </w:endnote>
  <w:endnote w:type="continuationSeparator" w:id="0">
    <w:p w14:paraId="21D64A0D" w14:textId="77777777" w:rsidR="00AF5BEE" w:rsidRDefault="00AF5BEE">
      <w:r>
        <w:continuationSeparator/>
      </w:r>
    </w:p>
  </w:endnote>
  <w:endnote w:type="continuationNotice" w:id="1">
    <w:p w14:paraId="1C0EAE9C" w14:textId="77777777" w:rsidR="00AF5BEE" w:rsidRDefault="00AF5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AF5BEE" w:rsidRDefault="00AF5B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D026" w14:textId="77777777" w:rsidR="00AF5BEE" w:rsidRDefault="00AF5BEE">
      <w:r>
        <w:separator/>
      </w:r>
    </w:p>
  </w:footnote>
  <w:footnote w:type="continuationSeparator" w:id="0">
    <w:p w14:paraId="1F3CCE8C" w14:textId="77777777" w:rsidR="00AF5BEE" w:rsidRDefault="00AF5BEE">
      <w:r>
        <w:continuationSeparator/>
      </w:r>
    </w:p>
  </w:footnote>
  <w:footnote w:type="continuationNotice" w:id="1">
    <w:p w14:paraId="170B5A3B" w14:textId="77777777" w:rsidR="00AF5BEE" w:rsidRDefault="00AF5B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AF5BEE" w:rsidRDefault="00AF5B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0A5880"/>
    <w:multiLevelType w:val="hybridMultilevel"/>
    <w:tmpl w:val="630C3116"/>
    <w:lvl w:ilvl="0" w:tplc="59BABDC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D50AA"/>
    <w:multiLevelType w:val="hybridMultilevel"/>
    <w:tmpl w:val="2B7A5DAA"/>
    <w:lvl w:ilvl="0" w:tplc="3F04E9C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193E086C"/>
    <w:multiLevelType w:val="hybridMultilevel"/>
    <w:tmpl w:val="A0709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AD4FDE"/>
    <w:multiLevelType w:val="hybridMultilevel"/>
    <w:tmpl w:val="61706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5178B"/>
    <w:multiLevelType w:val="hybridMultilevel"/>
    <w:tmpl w:val="C538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7A29D6"/>
    <w:multiLevelType w:val="hybridMultilevel"/>
    <w:tmpl w:val="AFD4EF6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4530"/>
    <w:multiLevelType w:val="hybridMultilevel"/>
    <w:tmpl w:val="2F843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93555D"/>
    <w:multiLevelType w:val="hybridMultilevel"/>
    <w:tmpl w:val="3C10BB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600A2A"/>
    <w:multiLevelType w:val="hybridMultilevel"/>
    <w:tmpl w:val="FEC8E18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DB22AF"/>
    <w:multiLevelType w:val="hybridMultilevel"/>
    <w:tmpl w:val="AB8C9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F424B"/>
    <w:multiLevelType w:val="hybridMultilevel"/>
    <w:tmpl w:val="F58CB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164301"/>
    <w:multiLevelType w:val="hybridMultilevel"/>
    <w:tmpl w:val="8D625460"/>
    <w:lvl w:ilvl="0" w:tplc="0409000F">
      <w:start w:val="1"/>
      <w:numFmt w:val="decimal"/>
      <w:lvlText w:val="%1."/>
      <w:lvlJc w:val="left"/>
      <w:pPr>
        <w:ind w:left="760" w:hanging="360"/>
      </w:pPr>
      <w:rPr>
        <w:rFonts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8"/>
  </w:num>
  <w:num w:numId="2">
    <w:abstractNumId w:val="16"/>
  </w:num>
  <w:num w:numId="3">
    <w:abstractNumId w:val="0"/>
  </w:num>
  <w:num w:numId="4">
    <w:abstractNumId w:val="20"/>
  </w:num>
  <w:num w:numId="5">
    <w:abstractNumId w:val="22"/>
  </w:num>
  <w:num w:numId="6">
    <w:abstractNumId w:val="23"/>
  </w:num>
  <w:num w:numId="7">
    <w:abstractNumId w:val="7"/>
  </w:num>
  <w:num w:numId="8">
    <w:abstractNumId w:val="11"/>
  </w:num>
  <w:num w:numId="9">
    <w:abstractNumId w:val="4"/>
  </w:num>
  <w:num w:numId="10">
    <w:abstractNumId w:val="29"/>
  </w:num>
  <w:num w:numId="11">
    <w:abstractNumId w:val="14"/>
  </w:num>
  <w:num w:numId="12">
    <w:abstractNumId w:val="27"/>
  </w:num>
  <w:num w:numId="13">
    <w:abstractNumId w:val="26"/>
  </w:num>
  <w:num w:numId="14">
    <w:abstractNumId w:val="9"/>
  </w:num>
  <w:num w:numId="15">
    <w:abstractNumId w:val="12"/>
  </w:num>
  <w:num w:numId="16">
    <w:abstractNumId w:val="3"/>
  </w:num>
  <w:num w:numId="17">
    <w:abstractNumId w:val="25"/>
  </w:num>
  <w:num w:numId="18">
    <w:abstractNumId w:val="5"/>
  </w:num>
  <w:num w:numId="19">
    <w:abstractNumId w:val="17"/>
  </w:num>
  <w:num w:numId="20">
    <w:abstractNumId w:val="8"/>
  </w:num>
  <w:num w:numId="21">
    <w:abstractNumId w:val="6"/>
  </w:num>
  <w:num w:numId="22">
    <w:abstractNumId w:val="3"/>
  </w:num>
  <w:num w:numId="23">
    <w:abstractNumId w:val="30"/>
  </w:num>
  <w:num w:numId="24">
    <w:abstractNumId w:val="13"/>
  </w:num>
  <w:num w:numId="25">
    <w:abstractNumId w:val="15"/>
  </w:num>
  <w:num w:numId="26">
    <w:abstractNumId w:val="2"/>
  </w:num>
  <w:num w:numId="27">
    <w:abstractNumId w:val="24"/>
  </w:num>
  <w:num w:numId="28">
    <w:abstractNumId w:val="10"/>
  </w:num>
  <w:num w:numId="29">
    <w:abstractNumId w:val="21"/>
  </w:num>
  <w:num w:numId="30">
    <w:abstractNumId w:val="19"/>
  </w:num>
  <w:num w:numId="31">
    <w:abstractNumId w:val="1"/>
  </w:num>
  <w:num w:numId="32">
    <w:abstractNumId w:val="28"/>
  </w:num>
  <w:num w:numId="3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473E"/>
    <w:rsid w:val="0000564C"/>
    <w:rsid w:val="00006446"/>
    <w:rsid w:val="00006896"/>
    <w:rsid w:val="00006DF2"/>
    <w:rsid w:val="00007CDC"/>
    <w:rsid w:val="00010ABF"/>
    <w:rsid w:val="00011B28"/>
    <w:rsid w:val="00014218"/>
    <w:rsid w:val="00015D15"/>
    <w:rsid w:val="000163C0"/>
    <w:rsid w:val="000204C9"/>
    <w:rsid w:val="00023280"/>
    <w:rsid w:val="00023C28"/>
    <w:rsid w:val="0002564D"/>
    <w:rsid w:val="00025ECA"/>
    <w:rsid w:val="00025F54"/>
    <w:rsid w:val="0003110E"/>
    <w:rsid w:val="000325B8"/>
    <w:rsid w:val="00033FEE"/>
    <w:rsid w:val="00034C15"/>
    <w:rsid w:val="000353D6"/>
    <w:rsid w:val="00035BC4"/>
    <w:rsid w:val="000360D0"/>
    <w:rsid w:val="00036BA1"/>
    <w:rsid w:val="00041F8A"/>
    <w:rsid w:val="000422E2"/>
    <w:rsid w:val="00042F22"/>
    <w:rsid w:val="000444EF"/>
    <w:rsid w:val="0004455C"/>
    <w:rsid w:val="00052A07"/>
    <w:rsid w:val="000534E3"/>
    <w:rsid w:val="0005606A"/>
    <w:rsid w:val="00057117"/>
    <w:rsid w:val="000602FE"/>
    <w:rsid w:val="000616E7"/>
    <w:rsid w:val="0006321A"/>
    <w:rsid w:val="00063A58"/>
    <w:rsid w:val="00063CFC"/>
    <w:rsid w:val="0006487E"/>
    <w:rsid w:val="00065E1A"/>
    <w:rsid w:val="00067A0D"/>
    <w:rsid w:val="00070042"/>
    <w:rsid w:val="00071498"/>
    <w:rsid w:val="00074309"/>
    <w:rsid w:val="00075033"/>
    <w:rsid w:val="000751B6"/>
    <w:rsid w:val="00075E48"/>
    <w:rsid w:val="000766AF"/>
    <w:rsid w:val="00076742"/>
    <w:rsid w:val="00077E5F"/>
    <w:rsid w:val="0008036A"/>
    <w:rsid w:val="000803BB"/>
    <w:rsid w:val="00081AE6"/>
    <w:rsid w:val="0008266F"/>
    <w:rsid w:val="000830F9"/>
    <w:rsid w:val="000855EB"/>
    <w:rsid w:val="00085A7A"/>
    <w:rsid w:val="00085B52"/>
    <w:rsid w:val="000866F2"/>
    <w:rsid w:val="0009009F"/>
    <w:rsid w:val="00090844"/>
    <w:rsid w:val="00091557"/>
    <w:rsid w:val="000924C1"/>
    <w:rsid w:val="000924F0"/>
    <w:rsid w:val="00093474"/>
    <w:rsid w:val="0009510F"/>
    <w:rsid w:val="000962B9"/>
    <w:rsid w:val="000966BE"/>
    <w:rsid w:val="000A1264"/>
    <w:rsid w:val="000A1B7B"/>
    <w:rsid w:val="000A3FD3"/>
    <w:rsid w:val="000A406D"/>
    <w:rsid w:val="000A4333"/>
    <w:rsid w:val="000A514D"/>
    <w:rsid w:val="000A51A4"/>
    <w:rsid w:val="000A56F2"/>
    <w:rsid w:val="000A6E76"/>
    <w:rsid w:val="000A7245"/>
    <w:rsid w:val="000B2719"/>
    <w:rsid w:val="000B3A8F"/>
    <w:rsid w:val="000B4AB9"/>
    <w:rsid w:val="000B4CC1"/>
    <w:rsid w:val="000B4D31"/>
    <w:rsid w:val="000B58C3"/>
    <w:rsid w:val="000B5FD0"/>
    <w:rsid w:val="000B61E9"/>
    <w:rsid w:val="000B7361"/>
    <w:rsid w:val="000C165A"/>
    <w:rsid w:val="000C1DA7"/>
    <w:rsid w:val="000C2202"/>
    <w:rsid w:val="000C2E19"/>
    <w:rsid w:val="000C35BD"/>
    <w:rsid w:val="000C4202"/>
    <w:rsid w:val="000C4668"/>
    <w:rsid w:val="000D0A6E"/>
    <w:rsid w:val="000D0D07"/>
    <w:rsid w:val="000D3500"/>
    <w:rsid w:val="000D4797"/>
    <w:rsid w:val="000D6CB6"/>
    <w:rsid w:val="000D773D"/>
    <w:rsid w:val="000E0527"/>
    <w:rsid w:val="000E1E92"/>
    <w:rsid w:val="000E2386"/>
    <w:rsid w:val="000E3353"/>
    <w:rsid w:val="000E49B6"/>
    <w:rsid w:val="000F06D6"/>
    <w:rsid w:val="000F0EB1"/>
    <w:rsid w:val="000F1106"/>
    <w:rsid w:val="000F19FC"/>
    <w:rsid w:val="000F2618"/>
    <w:rsid w:val="000F2FA5"/>
    <w:rsid w:val="000F3BE9"/>
    <w:rsid w:val="000F3F09"/>
    <w:rsid w:val="000F3F6C"/>
    <w:rsid w:val="000F6DF3"/>
    <w:rsid w:val="000F7251"/>
    <w:rsid w:val="000F7419"/>
    <w:rsid w:val="001005FF"/>
    <w:rsid w:val="00101C56"/>
    <w:rsid w:val="001023EF"/>
    <w:rsid w:val="00104BB1"/>
    <w:rsid w:val="00104DC8"/>
    <w:rsid w:val="00104F43"/>
    <w:rsid w:val="001062FB"/>
    <w:rsid w:val="001063E6"/>
    <w:rsid w:val="00112EA7"/>
    <w:rsid w:val="00113CF4"/>
    <w:rsid w:val="00114814"/>
    <w:rsid w:val="001153EA"/>
    <w:rsid w:val="00115643"/>
    <w:rsid w:val="00116765"/>
    <w:rsid w:val="00120464"/>
    <w:rsid w:val="001219F5"/>
    <w:rsid w:val="00121A20"/>
    <w:rsid w:val="00121CC8"/>
    <w:rsid w:val="0012377F"/>
    <w:rsid w:val="00124314"/>
    <w:rsid w:val="0012696F"/>
    <w:rsid w:val="00126B4A"/>
    <w:rsid w:val="00131B51"/>
    <w:rsid w:val="00132FD0"/>
    <w:rsid w:val="00133611"/>
    <w:rsid w:val="001344C0"/>
    <w:rsid w:val="001346FA"/>
    <w:rsid w:val="00135252"/>
    <w:rsid w:val="001375E5"/>
    <w:rsid w:val="00137AB5"/>
    <w:rsid w:val="00137F0B"/>
    <w:rsid w:val="00146C69"/>
    <w:rsid w:val="00151554"/>
    <w:rsid w:val="00151D01"/>
    <w:rsid w:val="00151E23"/>
    <w:rsid w:val="001526E0"/>
    <w:rsid w:val="001551B5"/>
    <w:rsid w:val="00156966"/>
    <w:rsid w:val="00157BA8"/>
    <w:rsid w:val="0016143D"/>
    <w:rsid w:val="00163401"/>
    <w:rsid w:val="001659C1"/>
    <w:rsid w:val="00166DFB"/>
    <w:rsid w:val="001700E9"/>
    <w:rsid w:val="00170FF5"/>
    <w:rsid w:val="00172C7A"/>
    <w:rsid w:val="00172FDA"/>
    <w:rsid w:val="00173A8E"/>
    <w:rsid w:val="00173FE0"/>
    <w:rsid w:val="001747B9"/>
    <w:rsid w:val="0017502C"/>
    <w:rsid w:val="00180A6A"/>
    <w:rsid w:val="0018143F"/>
    <w:rsid w:val="00181AC7"/>
    <w:rsid w:val="00181CF9"/>
    <w:rsid w:val="00181FF8"/>
    <w:rsid w:val="001821BD"/>
    <w:rsid w:val="00184922"/>
    <w:rsid w:val="00186E12"/>
    <w:rsid w:val="00190AC1"/>
    <w:rsid w:val="0019314C"/>
    <w:rsid w:val="0019341A"/>
    <w:rsid w:val="00194E3D"/>
    <w:rsid w:val="00195C4B"/>
    <w:rsid w:val="001960A1"/>
    <w:rsid w:val="0019625E"/>
    <w:rsid w:val="00197DF9"/>
    <w:rsid w:val="001A11F9"/>
    <w:rsid w:val="001A1987"/>
    <w:rsid w:val="001A1EE8"/>
    <w:rsid w:val="001A2564"/>
    <w:rsid w:val="001A42EA"/>
    <w:rsid w:val="001A47A8"/>
    <w:rsid w:val="001A6173"/>
    <w:rsid w:val="001A6CBA"/>
    <w:rsid w:val="001B0387"/>
    <w:rsid w:val="001B07CA"/>
    <w:rsid w:val="001B0D97"/>
    <w:rsid w:val="001B1C62"/>
    <w:rsid w:val="001B354F"/>
    <w:rsid w:val="001B5A5D"/>
    <w:rsid w:val="001C0AA9"/>
    <w:rsid w:val="001C1A81"/>
    <w:rsid w:val="001C1CE5"/>
    <w:rsid w:val="001C28BA"/>
    <w:rsid w:val="001C37F1"/>
    <w:rsid w:val="001C3D2A"/>
    <w:rsid w:val="001C737F"/>
    <w:rsid w:val="001C7CFA"/>
    <w:rsid w:val="001D0BE3"/>
    <w:rsid w:val="001D4670"/>
    <w:rsid w:val="001D47A9"/>
    <w:rsid w:val="001D51BA"/>
    <w:rsid w:val="001D53E7"/>
    <w:rsid w:val="001D6342"/>
    <w:rsid w:val="001D6D53"/>
    <w:rsid w:val="001E26CC"/>
    <w:rsid w:val="001E2838"/>
    <w:rsid w:val="001E4200"/>
    <w:rsid w:val="001E58E2"/>
    <w:rsid w:val="001E7AED"/>
    <w:rsid w:val="001E7E83"/>
    <w:rsid w:val="001F010E"/>
    <w:rsid w:val="001F0FA7"/>
    <w:rsid w:val="001F1F89"/>
    <w:rsid w:val="001F3916"/>
    <w:rsid w:val="001F54C5"/>
    <w:rsid w:val="001F574E"/>
    <w:rsid w:val="001F6429"/>
    <w:rsid w:val="001F662C"/>
    <w:rsid w:val="001F7074"/>
    <w:rsid w:val="001F7FB1"/>
    <w:rsid w:val="00200490"/>
    <w:rsid w:val="002015BF"/>
    <w:rsid w:val="00201F3A"/>
    <w:rsid w:val="00203C6A"/>
    <w:rsid w:val="00203F96"/>
    <w:rsid w:val="0020666F"/>
    <w:rsid w:val="002069B2"/>
    <w:rsid w:val="00207FA3"/>
    <w:rsid w:val="002133A3"/>
    <w:rsid w:val="00213C15"/>
    <w:rsid w:val="00214023"/>
    <w:rsid w:val="00214DA8"/>
    <w:rsid w:val="00215423"/>
    <w:rsid w:val="002158FA"/>
    <w:rsid w:val="00215B3D"/>
    <w:rsid w:val="0021716B"/>
    <w:rsid w:val="00220600"/>
    <w:rsid w:val="00221C73"/>
    <w:rsid w:val="002224DB"/>
    <w:rsid w:val="00223D99"/>
    <w:rsid w:val="00223FCB"/>
    <w:rsid w:val="002249A0"/>
    <w:rsid w:val="002252C3"/>
    <w:rsid w:val="002258CC"/>
    <w:rsid w:val="00225C54"/>
    <w:rsid w:val="00230765"/>
    <w:rsid w:val="00230D18"/>
    <w:rsid w:val="002319E4"/>
    <w:rsid w:val="00232FAF"/>
    <w:rsid w:val="00233E9C"/>
    <w:rsid w:val="00235632"/>
    <w:rsid w:val="00235872"/>
    <w:rsid w:val="00241559"/>
    <w:rsid w:val="002435B3"/>
    <w:rsid w:val="00243E7D"/>
    <w:rsid w:val="002458EB"/>
    <w:rsid w:val="002475BF"/>
    <w:rsid w:val="002500C8"/>
    <w:rsid w:val="002521E3"/>
    <w:rsid w:val="00257543"/>
    <w:rsid w:val="00257EC4"/>
    <w:rsid w:val="002604B8"/>
    <w:rsid w:val="002617E7"/>
    <w:rsid w:val="00262210"/>
    <w:rsid w:val="00262B6C"/>
    <w:rsid w:val="00263A7D"/>
    <w:rsid w:val="00264228"/>
    <w:rsid w:val="00264334"/>
    <w:rsid w:val="0026473E"/>
    <w:rsid w:val="00264D08"/>
    <w:rsid w:val="00265EB3"/>
    <w:rsid w:val="00266214"/>
    <w:rsid w:val="00267794"/>
    <w:rsid w:val="00267C83"/>
    <w:rsid w:val="00267E63"/>
    <w:rsid w:val="00270242"/>
    <w:rsid w:val="00270E64"/>
    <w:rsid w:val="0027144F"/>
    <w:rsid w:val="00271813"/>
    <w:rsid w:val="00271F3A"/>
    <w:rsid w:val="00272093"/>
    <w:rsid w:val="00273278"/>
    <w:rsid w:val="002737F4"/>
    <w:rsid w:val="002747D4"/>
    <w:rsid w:val="0027491E"/>
    <w:rsid w:val="002805F5"/>
    <w:rsid w:val="00280751"/>
    <w:rsid w:val="00281A53"/>
    <w:rsid w:val="0028280A"/>
    <w:rsid w:val="00286ACD"/>
    <w:rsid w:val="00286FFD"/>
    <w:rsid w:val="00287838"/>
    <w:rsid w:val="002878F6"/>
    <w:rsid w:val="00287FE4"/>
    <w:rsid w:val="002905FB"/>
    <w:rsid w:val="002907B5"/>
    <w:rsid w:val="00291A32"/>
    <w:rsid w:val="00291B3A"/>
    <w:rsid w:val="00292EB7"/>
    <w:rsid w:val="00295378"/>
    <w:rsid w:val="00296227"/>
    <w:rsid w:val="00296F44"/>
    <w:rsid w:val="002971B2"/>
    <w:rsid w:val="0029777D"/>
    <w:rsid w:val="002A055E"/>
    <w:rsid w:val="002A1507"/>
    <w:rsid w:val="002A1D4E"/>
    <w:rsid w:val="002A2869"/>
    <w:rsid w:val="002A33AB"/>
    <w:rsid w:val="002A4EC2"/>
    <w:rsid w:val="002A74D5"/>
    <w:rsid w:val="002A7D27"/>
    <w:rsid w:val="002B24D6"/>
    <w:rsid w:val="002B28E7"/>
    <w:rsid w:val="002B46C3"/>
    <w:rsid w:val="002B4EAB"/>
    <w:rsid w:val="002B69A0"/>
    <w:rsid w:val="002B78E7"/>
    <w:rsid w:val="002C41E6"/>
    <w:rsid w:val="002C4984"/>
    <w:rsid w:val="002C644B"/>
    <w:rsid w:val="002D071A"/>
    <w:rsid w:val="002D26DD"/>
    <w:rsid w:val="002D34B2"/>
    <w:rsid w:val="002D48B0"/>
    <w:rsid w:val="002D57BE"/>
    <w:rsid w:val="002D5B37"/>
    <w:rsid w:val="002D7637"/>
    <w:rsid w:val="002E111C"/>
    <w:rsid w:val="002E17F2"/>
    <w:rsid w:val="002E18B7"/>
    <w:rsid w:val="002E2BD2"/>
    <w:rsid w:val="002E4632"/>
    <w:rsid w:val="002E7CAE"/>
    <w:rsid w:val="002F0F4D"/>
    <w:rsid w:val="002F229F"/>
    <w:rsid w:val="002F2613"/>
    <w:rsid w:val="002F271F"/>
    <w:rsid w:val="002F2771"/>
    <w:rsid w:val="002F37A9"/>
    <w:rsid w:val="002F4C29"/>
    <w:rsid w:val="002F65F4"/>
    <w:rsid w:val="003017C9"/>
    <w:rsid w:val="00301B53"/>
    <w:rsid w:val="00301CE6"/>
    <w:rsid w:val="0030256B"/>
    <w:rsid w:val="003035E0"/>
    <w:rsid w:val="00304F3F"/>
    <w:rsid w:val="0030501F"/>
    <w:rsid w:val="00307BA1"/>
    <w:rsid w:val="00311702"/>
    <w:rsid w:val="00311E82"/>
    <w:rsid w:val="00312FD9"/>
    <w:rsid w:val="00313A13"/>
    <w:rsid w:val="00313FD6"/>
    <w:rsid w:val="003143BD"/>
    <w:rsid w:val="00314C73"/>
    <w:rsid w:val="00315081"/>
    <w:rsid w:val="003150FA"/>
    <w:rsid w:val="00315363"/>
    <w:rsid w:val="003203ED"/>
    <w:rsid w:val="00322C9F"/>
    <w:rsid w:val="00323B65"/>
    <w:rsid w:val="00324D23"/>
    <w:rsid w:val="00325BD3"/>
    <w:rsid w:val="00326529"/>
    <w:rsid w:val="00327AB2"/>
    <w:rsid w:val="003302F0"/>
    <w:rsid w:val="00330FC6"/>
    <w:rsid w:val="00331751"/>
    <w:rsid w:val="003318FB"/>
    <w:rsid w:val="00333690"/>
    <w:rsid w:val="00334579"/>
    <w:rsid w:val="00335858"/>
    <w:rsid w:val="003358D9"/>
    <w:rsid w:val="00336A31"/>
    <w:rsid w:val="00336BDA"/>
    <w:rsid w:val="003379F4"/>
    <w:rsid w:val="003400F9"/>
    <w:rsid w:val="0034108E"/>
    <w:rsid w:val="003417B9"/>
    <w:rsid w:val="00341F16"/>
    <w:rsid w:val="00342BD7"/>
    <w:rsid w:val="00345AE8"/>
    <w:rsid w:val="00346DB5"/>
    <w:rsid w:val="003477B1"/>
    <w:rsid w:val="003505BA"/>
    <w:rsid w:val="00351902"/>
    <w:rsid w:val="00353C6D"/>
    <w:rsid w:val="00357380"/>
    <w:rsid w:val="00357A96"/>
    <w:rsid w:val="003602D9"/>
    <w:rsid w:val="003604CE"/>
    <w:rsid w:val="00367B68"/>
    <w:rsid w:val="00370E47"/>
    <w:rsid w:val="0037230A"/>
    <w:rsid w:val="00372996"/>
    <w:rsid w:val="003742AC"/>
    <w:rsid w:val="00375336"/>
    <w:rsid w:val="00377CE1"/>
    <w:rsid w:val="003815B5"/>
    <w:rsid w:val="00384667"/>
    <w:rsid w:val="00385BF0"/>
    <w:rsid w:val="0039158D"/>
    <w:rsid w:val="003939FF"/>
    <w:rsid w:val="003A01AD"/>
    <w:rsid w:val="003A1543"/>
    <w:rsid w:val="003A2223"/>
    <w:rsid w:val="003A28B8"/>
    <w:rsid w:val="003A2A0F"/>
    <w:rsid w:val="003A4425"/>
    <w:rsid w:val="003A45A1"/>
    <w:rsid w:val="003A4D0B"/>
    <w:rsid w:val="003A5B0A"/>
    <w:rsid w:val="003A5FBE"/>
    <w:rsid w:val="003A689D"/>
    <w:rsid w:val="003A6BAC"/>
    <w:rsid w:val="003A6E90"/>
    <w:rsid w:val="003A70A4"/>
    <w:rsid w:val="003A7EF3"/>
    <w:rsid w:val="003B0AA7"/>
    <w:rsid w:val="003B0D43"/>
    <w:rsid w:val="003B159C"/>
    <w:rsid w:val="003B2CF7"/>
    <w:rsid w:val="003B369F"/>
    <w:rsid w:val="003B36A3"/>
    <w:rsid w:val="003B37D3"/>
    <w:rsid w:val="003B4630"/>
    <w:rsid w:val="003B4DD8"/>
    <w:rsid w:val="003B64BB"/>
    <w:rsid w:val="003B721B"/>
    <w:rsid w:val="003B7FE5"/>
    <w:rsid w:val="003C08E3"/>
    <w:rsid w:val="003C11C8"/>
    <w:rsid w:val="003C19B9"/>
    <w:rsid w:val="003C2702"/>
    <w:rsid w:val="003C3726"/>
    <w:rsid w:val="003C4F93"/>
    <w:rsid w:val="003C7806"/>
    <w:rsid w:val="003D109F"/>
    <w:rsid w:val="003D1DDC"/>
    <w:rsid w:val="003D2478"/>
    <w:rsid w:val="003D2D90"/>
    <w:rsid w:val="003D3C45"/>
    <w:rsid w:val="003D5B1F"/>
    <w:rsid w:val="003E15FA"/>
    <w:rsid w:val="003E3610"/>
    <w:rsid w:val="003E55E4"/>
    <w:rsid w:val="003E5A5C"/>
    <w:rsid w:val="003E6DE1"/>
    <w:rsid w:val="003E74E3"/>
    <w:rsid w:val="003F05C7"/>
    <w:rsid w:val="003F1B6C"/>
    <w:rsid w:val="003F2CD4"/>
    <w:rsid w:val="003F490B"/>
    <w:rsid w:val="003F4C2C"/>
    <w:rsid w:val="003F6BBE"/>
    <w:rsid w:val="004000E8"/>
    <w:rsid w:val="004003FF"/>
    <w:rsid w:val="00402E2B"/>
    <w:rsid w:val="00403CC6"/>
    <w:rsid w:val="0040512B"/>
    <w:rsid w:val="00405CA5"/>
    <w:rsid w:val="0040744A"/>
    <w:rsid w:val="00407CD3"/>
    <w:rsid w:val="00410134"/>
    <w:rsid w:val="00410B72"/>
    <w:rsid w:val="00410F18"/>
    <w:rsid w:val="00411B2A"/>
    <w:rsid w:val="0041263E"/>
    <w:rsid w:val="00413AAC"/>
    <w:rsid w:val="00413E92"/>
    <w:rsid w:val="00417A70"/>
    <w:rsid w:val="00421105"/>
    <w:rsid w:val="0042122C"/>
    <w:rsid w:val="00421245"/>
    <w:rsid w:val="0042196D"/>
    <w:rsid w:val="00422AA4"/>
    <w:rsid w:val="004232B9"/>
    <w:rsid w:val="00423A87"/>
    <w:rsid w:val="00423DBE"/>
    <w:rsid w:val="004242F4"/>
    <w:rsid w:val="004247CC"/>
    <w:rsid w:val="00425DD1"/>
    <w:rsid w:val="00426C39"/>
    <w:rsid w:val="00427248"/>
    <w:rsid w:val="004307E1"/>
    <w:rsid w:val="00430D8F"/>
    <w:rsid w:val="00434F70"/>
    <w:rsid w:val="00437447"/>
    <w:rsid w:val="00441019"/>
    <w:rsid w:val="00441A92"/>
    <w:rsid w:val="004431DC"/>
    <w:rsid w:val="00444F56"/>
    <w:rsid w:val="004460FB"/>
    <w:rsid w:val="00446488"/>
    <w:rsid w:val="00446710"/>
    <w:rsid w:val="00447DA0"/>
    <w:rsid w:val="004517AA"/>
    <w:rsid w:val="004526DA"/>
    <w:rsid w:val="00452CAC"/>
    <w:rsid w:val="004536E8"/>
    <w:rsid w:val="00455799"/>
    <w:rsid w:val="00456A68"/>
    <w:rsid w:val="00457565"/>
    <w:rsid w:val="00457B71"/>
    <w:rsid w:val="00462285"/>
    <w:rsid w:val="00462880"/>
    <w:rsid w:val="004643EF"/>
    <w:rsid w:val="00465C4A"/>
    <w:rsid w:val="00465CEA"/>
    <w:rsid w:val="004669E2"/>
    <w:rsid w:val="00466DA3"/>
    <w:rsid w:val="00470C31"/>
    <w:rsid w:val="004714B6"/>
    <w:rsid w:val="004718CA"/>
    <w:rsid w:val="00471DE0"/>
    <w:rsid w:val="0047254C"/>
    <w:rsid w:val="004729F8"/>
    <w:rsid w:val="004734D0"/>
    <w:rsid w:val="0047556B"/>
    <w:rsid w:val="00476AF8"/>
    <w:rsid w:val="00477768"/>
    <w:rsid w:val="00477C74"/>
    <w:rsid w:val="004843BD"/>
    <w:rsid w:val="0048585C"/>
    <w:rsid w:val="00486E94"/>
    <w:rsid w:val="004918DC"/>
    <w:rsid w:val="00492506"/>
    <w:rsid w:val="00492BC5"/>
    <w:rsid w:val="00495F25"/>
    <w:rsid w:val="004964F1"/>
    <w:rsid w:val="00497CCB"/>
    <w:rsid w:val="004A0F0C"/>
    <w:rsid w:val="004A128C"/>
    <w:rsid w:val="004A16BC"/>
    <w:rsid w:val="004A2B94"/>
    <w:rsid w:val="004A2BED"/>
    <w:rsid w:val="004A3C56"/>
    <w:rsid w:val="004A4953"/>
    <w:rsid w:val="004A55E5"/>
    <w:rsid w:val="004A7240"/>
    <w:rsid w:val="004B2A69"/>
    <w:rsid w:val="004B580C"/>
    <w:rsid w:val="004B6F6A"/>
    <w:rsid w:val="004B7C0C"/>
    <w:rsid w:val="004C1D75"/>
    <w:rsid w:val="004C3711"/>
    <w:rsid w:val="004C3898"/>
    <w:rsid w:val="004C53EF"/>
    <w:rsid w:val="004C61D8"/>
    <w:rsid w:val="004C6B66"/>
    <w:rsid w:val="004D36B1"/>
    <w:rsid w:val="004D7EBD"/>
    <w:rsid w:val="004E2680"/>
    <w:rsid w:val="004E28F9"/>
    <w:rsid w:val="004E308F"/>
    <w:rsid w:val="004E3838"/>
    <w:rsid w:val="004E3A63"/>
    <w:rsid w:val="004E462E"/>
    <w:rsid w:val="004E52A9"/>
    <w:rsid w:val="004E56DC"/>
    <w:rsid w:val="004E572B"/>
    <w:rsid w:val="004E76F4"/>
    <w:rsid w:val="004F0B4E"/>
    <w:rsid w:val="004F0B6C"/>
    <w:rsid w:val="004F140F"/>
    <w:rsid w:val="004F2078"/>
    <w:rsid w:val="004F3ED1"/>
    <w:rsid w:val="004F4DA3"/>
    <w:rsid w:val="00501C1D"/>
    <w:rsid w:val="00506557"/>
    <w:rsid w:val="0050677A"/>
    <w:rsid w:val="005108D8"/>
    <w:rsid w:val="005116F9"/>
    <w:rsid w:val="00512A25"/>
    <w:rsid w:val="005153A7"/>
    <w:rsid w:val="00521341"/>
    <w:rsid w:val="005219CF"/>
    <w:rsid w:val="0053257E"/>
    <w:rsid w:val="00534B59"/>
    <w:rsid w:val="00536759"/>
    <w:rsid w:val="00537058"/>
    <w:rsid w:val="00537C62"/>
    <w:rsid w:val="00545617"/>
    <w:rsid w:val="00546970"/>
    <w:rsid w:val="00546F8C"/>
    <w:rsid w:val="0054717B"/>
    <w:rsid w:val="0055087F"/>
    <w:rsid w:val="0055129A"/>
    <w:rsid w:val="005530DD"/>
    <w:rsid w:val="00554961"/>
    <w:rsid w:val="00554E19"/>
    <w:rsid w:val="0055647C"/>
    <w:rsid w:val="00556711"/>
    <w:rsid w:val="00557DFB"/>
    <w:rsid w:val="0056121F"/>
    <w:rsid w:val="00562C12"/>
    <w:rsid w:val="005633D6"/>
    <w:rsid w:val="00563D70"/>
    <w:rsid w:val="00570782"/>
    <w:rsid w:val="00572505"/>
    <w:rsid w:val="0057299E"/>
    <w:rsid w:val="00577757"/>
    <w:rsid w:val="00577C91"/>
    <w:rsid w:val="005802B4"/>
    <w:rsid w:val="00581F29"/>
    <w:rsid w:val="00582809"/>
    <w:rsid w:val="0058332D"/>
    <w:rsid w:val="005867DE"/>
    <w:rsid w:val="0058798C"/>
    <w:rsid w:val="005900FA"/>
    <w:rsid w:val="005901FD"/>
    <w:rsid w:val="0059049B"/>
    <w:rsid w:val="005935A4"/>
    <w:rsid w:val="00594780"/>
    <w:rsid w:val="005948C2"/>
    <w:rsid w:val="00595DCA"/>
    <w:rsid w:val="005968D0"/>
    <w:rsid w:val="0059729E"/>
    <w:rsid w:val="0059779B"/>
    <w:rsid w:val="005A053C"/>
    <w:rsid w:val="005A1DE5"/>
    <w:rsid w:val="005A209A"/>
    <w:rsid w:val="005A48FF"/>
    <w:rsid w:val="005A662D"/>
    <w:rsid w:val="005A7CC0"/>
    <w:rsid w:val="005B03D4"/>
    <w:rsid w:val="005B1409"/>
    <w:rsid w:val="005B1CAE"/>
    <w:rsid w:val="005B35D7"/>
    <w:rsid w:val="005B392A"/>
    <w:rsid w:val="005B3AA3"/>
    <w:rsid w:val="005B4690"/>
    <w:rsid w:val="005B5465"/>
    <w:rsid w:val="005B6058"/>
    <w:rsid w:val="005B6F83"/>
    <w:rsid w:val="005B7B9E"/>
    <w:rsid w:val="005B7CBE"/>
    <w:rsid w:val="005C0132"/>
    <w:rsid w:val="005C0AE6"/>
    <w:rsid w:val="005C27EB"/>
    <w:rsid w:val="005C2F0A"/>
    <w:rsid w:val="005C4545"/>
    <w:rsid w:val="005C74FB"/>
    <w:rsid w:val="005D1602"/>
    <w:rsid w:val="005D1E04"/>
    <w:rsid w:val="005E076B"/>
    <w:rsid w:val="005E2171"/>
    <w:rsid w:val="005E385F"/>
    <w:rsid w:val="005E59F7"/>
    <w:rsid w:val="005E5B81"/>
    <w:rsid w:val="005E66D9"/>
    <w:rsid w:val="005F0D68"/>
    <w:rsid w:val="005F2550"/>
    <w:rsid w:val="005F2CB1"/>
    <w:rsid w:val="005F3025"/>
    <w:rsid w:val="005F618C"/>
    <w:rsid w:val="005F70BD"/>
    <w:rsid w:val="005F746C"/>
    <w:rsid w:val="0060283C"/>
    <w:rsid w:val="00604F14"/>
    <w:rsid w:val="00605146"/>
    <w:rsid w:val="00611B83"/>
    <w:rsid w:val="00613257"/>
    <w:rsid w:val="00613F09"/>
    <w:rsid w:val="00614E66"/>
    <w:rsid w:val="00616AD6"/>
    <w:rsid w:val="00620203"/>
    <w:rsid w:val="00620A71"/>
    <w:rsid w:val="00620D80"/>
    <w:rsid w:val="00622EEA"/>
    <w:rsid w:val="00622FF2"/>
    <w:rsid w:val="006234A6"/>
    <w:rsid w:val="00624E05"/>
    <w:rsid w:val="00630001"/>
    <w:rsid w:val="006311B3"/>
    <w:rsid w:val="0063244A"/>
    <w:rsid w:val="00632823"/>
    <w:rsid w:val="0063284C"/>
    <w:rsid w:val="00635DF2"/>
    <w:rsid w:val="00636398"/>
    <w:rsid w:val="006368D3"/>
    <w:rsid w:val="0063773D"/>
    <w:rsid w:val="006377EC"/>
    <w:rsid w:val="0064151F"/>
    <w:rsid w:val="00641533"/>
    <w:rsid w:val="006416FE"/>
    <w:rsid w:val="0064208D"/>
    <w:rsid w:val="00643475"/>
    <w:rsid w:val="0064396A"/>
    <w:rsid w:val="00643DDE"/>
    <w:rsid w:val="00645671"/>
    <w:rsid w:val="0064569D"/>
    <w:rsid w:val="0064622C"/>
    <w:rsid w:val="0064624E"/>
    <w:rsid w:val="006469B3"/>
    <w:rsid w:val="00650AB9"/>
    <w:rsid w:val="006523C0"/>
    <w:rsid w:val="00652480"/>
    <w:rsid w:val="00653909"/>
    <w:rsid w:val="006556DB"/>
    <w:rsid w:val="00655733"/>
    <w:rsid w:val="00655ACD"/>
    <w:rsid w:val="006569D0"/>
    <w:rsid w:val="00656A92"/>
    <w:rsid w:val="00656DDE"/>
    <w:rsid w:val="0065753D"/>
    <w:rsid w:val="006578AF"/>
    <w:rsid w:val="0066011D"/>
    <w:rsid w:val="006607C0"/>
    <w:rsid w:val="006613A6"/>
    <w:rsid w:val="00661ACB"/>
    <w:rsid w:val="006627A2"/>
    <w:rsid w:val="006634E6"/>
    <w:rsid w:val="00664C1A"/>
    <w:rsid w:val="00664E50"/>
    <w:rsid w:val="006655EE"/>
    <w:rsid w:val="00665E53"/>
    <w:rsid w:val="00666BE8"/>
    <w:rsid w:val="00667041"/>
    <w:rsid w:val="00667550"/>
    <w:rsid w:val="00667EE7"/>
    <w:rsid w:val="00670922"/>
    <w:rsid w:val="00670BE1"/>
    <w:rsid w:val="00671EDD"/>
    <w:rsid w:val="0067218F"/>
    <w:rsid w:val="006721E3"/>
    <w:rsid w:val="006741F2"/>
    <w:rsid w:val="006743B0"/>
    <w:rsid w:val="00674CC3"/>
    <w:rsid w:val="00675C72"/>
    <w:rsid w:val="006771F9"/>
    <w:rsid w:val="006776D7"/>
    <w:rsid w:val="00681003"/>
    <w:rsid w:val="006817C9"/>
    <w:rsid w:val="00683184"/>
    <w:rsid w:val="00683ECE"/>
    <w:rsid w:val="006846A7"/>
    <w:rsid w:val="00690F28"/>
    <w:rsid w:val="00695FC2"/>
    <w:rsid w:val="00696949"/>
    <w:rsid w:val="00696EF7"/>
    <w:rsid w:val="00697052"/>
    <w:rsid w:val="006A0CD9"/>
    <w:rsid w:val="006A18CE"/>
    <w:rsid w:val="006A203B"/>
    <w:rsid w:val="006A299B"/>
    <w:rsid w:val="006A46FB"/>
    <w:rsid w:val="006A5E28"/>
    <w:rsid w:val="006A697B"/>
    <w:rsid w:val="006A6D00"/>
    <w:rsid w:val="006A7AFF"/>
    <w:rsid w:val="006B1816"/>
    <w:rsid w:val="006B1B69"/>
    <w:rsid w:val="006B2099"/>
    <w:rsid w:val="006B3661"/>
    <w:rsid w:val="006B3670"/>
    <w:rsid w:val="006B5002"/>
    <w:rsid w:val="006B50CF"/>
    <w:rsid w:val="006B5901"/>
    <w:rsid w:val="006C03B8"/>
    <w:rsid w:val="006C05CE"/>
    <w:rsid w:val="006C1DE4"/>
    <w:rsid w:val="006C41F3"/>
    <w:rsid w:val="006C44DA"/>
    <w:rsid w:val="006C4D06"/>
    <w:rsid w:val="006C4F1B"/>
    <w:rsid w:val="006C5EC9"/>
    <w:rsid w:val="006C6059"/>
    <w:rsid w:val="006C7396"/>
    <w:rsid w:val="006C7522"/>
    <w:rsid w:val="006D647D"/>
    <w:rsid w:val="006D6E7D"/>
    <w:rsid w:val="006D6F08"/>
    <w:rsid w:val="006E035B"/>
    <w:rsid w:val="006E062C"/>
    <w:rsid w:val="006E0684"/>
    <w:rsid w:val="006E1C82"/>
    <w:rsid w:val="006E28B7"/>
    <w:rsid w:val="006E2A9B"/>
    <w:rsid w:val="006E3310"/>
    <w:rsid w:val="006E3543"/>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07DBC"/>
    <w:rsid w:val="00712287"/>
    <w:rsid w:val="00712772"/>
    <w:rsid w:val="0071280B"/>
    <w:rsid w:val="007133D7"/>
    <w:rsid w:val="007135B8"/>
    <w:rsid w:val="00713F46"/>
    <w:rsid w:val="007142F5"/>
    <w:rsid w:val="007148D3"/>
    <w:rsid w:val="0071500B"/>
    <w:rsid w:val="007152D9"/>
    <w:rsid w:val="007152F3"/>
    <w:rsid w:val="00715B9A"/>
    <w:rsid w:val="00716800"/>
    <w:rsid w:val="007216AE"/>
    <w:rsid w:val="00722D5A"/>
    <w:rsid w:val="00724DD3"/>
    <w:rsid w:val="007257D0"/>
    <w:rsid w:val="00726EA6"/>
    <w:rsid w:val="00727208"/>
    <w:rsid w:val="00727680"/>
    <w:rsid w:val="007348B1"/>
    <w:rsid w:val="007362A6"/>
    <w:rsid w:val="007367E9"/>
    <w:rsid w:val="00736D7D"/>
    <w:rsid w:val="00740E58"/>
    <w:rsid w:val="00741C00"/>
    <w:rsid w:val="007445A0"/>
    <w:rsid w:val="0074524B"/>
    <w:rsid w:val="00747D8B"/>
    <w:rsid w:val="007506E3"/>
    <w:rsid w:val="00751228"/>
    <w:rsid w:val="0075182F"/>
    <w:rsid w:val="00756010"/>
    <w:rsid w:val="00756367"/>
    <w:rsid w:val="007571E1"/>
    <w:rsid w:val="007576E0"/>
    <w:rsid w:val="007604B2"/>
    <w:rsid w:val="0076084D"/>
    <w:rsid w:val="00763100"/>
    <w:rsid w:val="00765281"/>
    <w:rsid w:val="00765ADB"/>
    <w:rsid w:val="00766BAD"/>
    <w:rsid w:val="007701F1"/>
    <w:rsid w:val="007705DA"/>
    <w:rsid w:val="00772365"/>
    <w:rsid w:val="007729A2"/>
    <w:rsid w:val="00774B35"/>
    <w:rsid w:val="007755F2"/>
    <w:rsid w:val="00775C6B"/>
    <w:rsid w:val="00776971"/>
    <w:rsid w:val="007778D3"/>
    <w:rsid w:val="00780A80"/>
    <w:rsid w:val="00780DD8"/>
    <w:rsid w:val="0078177E"/>
    <w:rsid w:val="0078304C"/>
    <w:rsid w:val="00783673"/>
    <w:rsid w:val="00784F07"/>
    <w:rsid w:val="00785490"/>
    <w:rsid w:val="007876ED"/>
    <w:rsid w:val="00791CE8"/>
    <w:rsid w:val="007925EA"/>
    <w:rsid w:val="0079375B"/>
    <w:rsid w:val="00793CD8"/>
    <w:rsid w:val="00793F37"/>
    <w:rsid w:val="007941DC"/>
    <w:rsid w:val="00794E21"/>
    <w:rsid w:val="00795C92"/>
    <w:rsid w:val="00796231"/>
    <w:rsid w:val="007A0D8F"/>
    <w:rsid w:val="007A1CB3"/>
    <w:rsid w:val="007A28FD"/>
    <w:rsid w:val="007A2F5F"/>
    <w:rsid w:val="007A306F"/>
    <w:rsid w:val="007A3F5E"/>
    <w:rsid w:val="007A43A6"/>
    <w:rsid w:val="007A441F"/>
    <w:rsid w:val="007A483A"/>
    <w:rsid w:val="007A58A6"/>
    <w:rsid w:val="007A6C58"/>
    <w:rsid w:val="007A7185"/>
    <w:rsid w:val="007A71B5"/>
    <w:rsid w:val="007A7A3F"/>
    <w:rsid w:val="007B3D2D"/>
    <w:rsid w:val="007B50AE"/>
    <w:rsid w:val="007B51DF"/>
    <w:rsid w:val="007B5923"/>
    <w:rsid w:val="007B6D1E"/>
    <w:rsid w:val="007C05DD"/>
    <w:rsid w:val="007C198D"/>
    <w:rsid w:val="007C2AC7"/>
    <w:rsid w:val="007C37C1"/>
    <w:rsid w:val="007C3D18"/>
    <w:rsid w:val="007C46E0"/>
    <w:rsid w:val="007C4E08"/>
    <w:rsid w:val="007C5AAD"/>
    <w:rsid w:val="007C60BF"/>
    <w:rsid w:val="007C6A07"/>
    <w:rsid w:val="007C75A1"/>
    <w:rsid w:val="007C77A5"/>
    <w:rsid w:val="007C7D6C"/>
    <w:rsid w:val="007D04E5"/>
    <w:rsid w:val="007D23AD"/>
    <w:rsid w:val="007D35C0"/>
    <w:rsid w:val="007D3AF3"/>
    <w:rsid w:val="007D3B7A"/>
    <w:rsid w:val="007D4358"/>
    <w:rsid w:val="007D4A34"/>
    <w:rsid w:val="007D5505"/>
    <w:rsid w:val="007D5901"/>
    <w:rsid w:val="007D5C10"/>
    <w:rsid w:val="007D5DFB"/>
    <w:rsid w:val="007D7526"/>
    <w:rsid w:val="007D7801"/>
    <w:rsid w:val="007D7B85"/>
    <w:rsid w:val="007E01F9"/>
    <w:rsid w:val="007E1B75"/>
    <w:rsid w:val="007E4610"/>
    <w:rsid w:val="007E4715"/>
    <w:rsid w:val="007E4A58"/>
    <w:rsid w:val="007E505B"/>
    <w:rsid w:val="007E7091"/>
    <w:rsid w:val="007E73E6"/>
    <w:rsid w:val="007F0CD7"/>
    <w:rsid w:val="007F14FF"/>
    <w:rsid w:val="007F421A"/>
    <w:rsid w:val="007F4B69"/>
    <w:rsid w:val="007F6B58"/>
    <w:rsid w:val="007F6FFA"/>
    <w:rsid w:val="007F7AD6"/>
    <w:rsid w:val="00800C6C"/>
    <w:rsid w:val="00801E75"/>
    <w:rsid w:val="0080323E"/>
    <w:rsid w:val="00803D6F"/>
    <w:rsid w:val="00803FAE"/>
    <w:rsid w:val="0080605F"/>
    <w:rsid w:val="00807786"/>
    <w:rsid w:val="0081037C"/>
    <w:rsid w:val="008110D2"/>
    <w:rsid w:val="00811FCB"/>
    <w:rsid w:val="00813424"/>
    <w:rsid w:val="008158D6"/>
    <w:rsid w:val="00815A9D"/>
    <w:rsid w:val="00817041"/>
    <w:rsid w:val="00817196"/>
    <w:rsid w:val="008172AE"/>
    <w:rsid w:val="008208EF"/>
    <w:rsid w:val="008214CF"/>
    <w:rsid w:val="008235DB"/>
    <w:rsid w:val="00824AB4"/>
    <w:rsid w:val="00825C42"/>
    <w:rsid w:val="00825D25"/>
    <w:rsid w:val="00827D6F"/>
    <w:rsid w:val="00827EAF"/>
    <w:rsid w:val="008327BF"/>
    <w:rsid w:val="00835488"/>
    <w:rsid w:val="008376AC"/>
    <w:rsid w:val="00837C7D"/>
    <w:rsid w:val="00841F3E"/>
    <w:rsid w:val="008444E8"/>
    <w:rsid w:val="00844E80"/>
    <w:rsid w:val="008455CB"/>
    <w:rsid w:val="00846520"/>
    <w:rsid w:val="00846FE7"/>
    <w:rsid w:val="00850D16"/>
    <w:rsid w:val="008523BA"/>
    <w:rsid w:val="0085406A"/>
    <w:rsid w:val="008567BB"/>
    <w:rsid w:val="00856911"/>
    <w:rsid w:val="00862290"/>
    <w:rsid w:val="00862FDC"/>
    <w:rsid w:val="00863A07"/>
    <w:rsid w:val="008640D0"/>
    <w:rsid w:val="0086686F"/>
    <w:rsid w:val="00867182"/>
    <w:rsid w:val="008677FD"/>
    <w:rsid w:val="00867A03"/>
    <w:rsid w:val="008706D4"/>
    <w:rsid w:val="00870E51"/>
    <w:rsid w:val="00870F8A"/>
    <w:rsid w:val="008719A4"/>
    <w:rsid w:val="00871D23"/>
    <w:rsid w:val="008721AB"/>
    <w:rsid w:val="008738A4"/>
    <w:rsid w:val="00874312"/>
    <w:rsid w:val="0087437C"/>
    <w:rsid w:val="00874E12"/>
    <w:rsid w:val="00874FF9"/>
    <w:rsid w:val="00875CD7"/>
    <w:rsid w:val="00876B4D"/>
    <w:rsid w:val="0087790B"/>
    <w:rsid w:val="00877F18"/>
    <w:rsid w:val="00880223"/>
    <w:rsid w:val="00880ACE"/>
    <w:rsid w:val="00881725"/>
    <w:rsid w:val="00882EF2"/>
    <w:rsid w:val="00887EDE"/>
    <w:rsid w:val="00890B40"/>
    <w:rsid w:val="00891464"/>
    <w:rsid w:val="00891D52"/>
    <w:rsid w:val="00892A12"/>
    <w:rsid w:val="008941E3"/>
    <w:rsid w:val="00894A88"/>
    <w:rsid w:val="00895386"/>
    <w:rsid w:val="008961F9"/>
    <w:rsid w:val="00896E57"/>
    <w:rsid w:val="008A1DAD"/>
    <w:rsid w:val="008A1EE3"/>
    <w:rsid w:val="008A21FF"/>
    <w:rsid w:val="008A2CE2"/>
    <w:rsid w:val="008A30AC"/>
    <w:rsid w:val="008A30F9"/>
    <w:rsid w:val="008A44B8"/>
    <w:rsid w:val="008A51A8"/>
    <w:rsid w:val="008A54C7"/>
    <w:rsid w:val="008A555F"/>
    <w:rsid w:val="008A6BFA"/>
    <w:rsid w:val="008A760F"/>
    <w:rsid w:val="008A77D8"/>
    <w:rsid w:val="008B0079"/>
    <w:rsid w:val="008B0483"/>
    <w:rsid w:val="008B120C"/>
    <w:rsid w:val="008B1530"/>
    <w:rsid w:val="008B3652"/>
    <w:rsid w:val="008B45D1"/>
    <w:rsid w:val="008B51A0"/>
    <w:rsid w:val="008B53DA"/>
    <w:rsid w:val="008B592A"/>
    <w:rsid w:val="008B7B5C"/>
    <w:rsid w:val="008B7F39"/>
    <w:rsid w:val="008C000F"/>
    <w:rsid w:val="008C0C99"/>
    <w:rsid w:val="008C1800"/>
    <w:rsid w:val="008C2017"/>
    <w:rsid w:val="008C3D51"/>
    <w:rsid w:val="008C4958"/>
    <w:rsid w:val="008C4BAA"/>
    <w:rsid w:val="008C68BF"/>
    <w:rsid w:val="008C6AE8"/>
    <w:rsid w:val="008C7573"/>
    <w:rsid w:val="008D00A5"/>
    <w:rsid w:val="008D34F1"/>
    <w:rsid w:val="008D39D8"/>
    <w:rsid w:val="008D66F9"/>
    <w:rsid w:val="008D6A64"/>
    <w:rsid w:val="008D6D1A"/>
    <w:rsid w:val="008D7C00"/>
    <w:rsid w:val="008E065E"/>
    <w:rsid w:val="008E0927"/>
    <w:rsid w:val="008E0FBB"/>
    <w:rsid w:val="008E1909"/>
    <w:rsid w:val="008E28FA"/>
    <w:rsid w:val="008E3956"/>
    <w:rsid w:val="008E42B4"/>
    <w:rsid w:val="008E7BA1"/>
    <w:rsid w:val="008F1C4E"/>
    <w:rsid w:val="008F1EAB"/>
    <w:rsid w:val="008F2233"/>
    <w:rsid w:val="008F2ED0"/>
    <w:rsid w:val="008F33DC"/>
    <w:rsid w:val="008F469B"/>
    <w:rsid w:val="008F477F"/>
    <w:rsid w:val="008F4977"/>
    <w:rsid w:val="00900B1F"/>
    <w:rsid w:val="00902350"/>
    <w:rsid w:val="0090336B"/>
    <w:rsid w:val="009041D9"/>
    <w:rsid w:val="009053AA"/>
    <w:rsid w:val="009068D5"/>
    <w:rsid w:val="00906939"/>
    <w:rsid w:val="00906ECC"/>
    <w:rsid w:val="009103DD"/>
    <w:rsid w:val="00910B7D"/>
    <w:rsid w:val="00910CDF"/>
    <w:rsid w:val="00910DC9"/>
    <w:rsid w:val="00911DFB"/>
    <w:rsid w:val="009139D9"/>
    <w:rsid w:val="00914AD8"/>
    <w:rsid w:val="00914D2A"/>
    <w:rsid w:val="00916079"/>
    <w:rsid w:val="00917CE9"/>
    <w:rsid w:val="00920BF2"/>
    <w:rsid w:val="0092102C"/>
    <w:rsid w:val="00922010"/>
    <w:rsid w:val="00925088"/>
    <w:rsid w:val="00930F86"/>
    <w:rsid w:val="009317FA"/>
    <w:rsid w:val="00931BD9"/>
    <w:rsid w:val="009341DA"/>
    <w:rsid w:val="009363E8"/>
    <w:rsid w:val="009368F3"/>
    <w:rsid w:val="00941636"/>
    <w:rsid w:val="009433CF"/>
    <w:rsid w:val="00943742"/>
    <w:rsid w:val="00943901"/>
    <w:rsid w:val="00944B32"/>
    <w:rsid w:val="00945C05"/>
    <w:rsid w:val="00945DE1"/>
    <w:rsid w:val="00946945"/>
    <w:rsid w:val="00947713"/>
    <w:rsid w:val="00950522"/>
    <w:rsid w:val="00950C88"/>
    <w:rsid w:val="00950DE7"/>
    <w:rsid w:val="00951CDE"/>
    <w:rsid w:val="00951F55"/>
    <w:rsid w:val="00952274"/>
    <w:rsid w:val="00953262"/>
    <w:rsid w:val="00953920"/>
    <w:rsid w:val="00953D47"/>
    <w:rsid w:val="0095472D"/>
    <w:rsid w:val="00956095"/>
    <w:rsid w:val="0095681E"/>
    <w:rsid w:val="00956D51"/>
    <w:rsid w:val="00956E5D"/>
    <w:rsid w:val="009572D4"/>
    <w:rsid w:val="00961921"/>
    <w:rsid w:val="0096430A"/>
    <w:rsid w:val="0096554B"/>
    <w:rsid w:val="0096584A"/>
    <w:rsid w:val="00966F8D"/>
    <w:rsid w:val="00970CD7"/>
    <w:rsid w:val="00971F08"/>
    <w:rsid w:val="009758CB"/>
    <w:rsid w:val="0097603D"/>
    <w:rsid w:val="00976949"/>
    <w:rsid w:val="00976FE5"/>
    <w:rsid w:val="0097734F"/>
    <w:rsid w:val="00980477"/>
    <w:rsid w:val="00980504"/>
    <w:rsid w:val="00982BDD"/>
    <w:rsid w:val="00982EC3"/>
    <w:rsid w:val="00985253"/>
    <w:rsid w:val="009852A3"/>
    <w:rsid w:val="009853B3"/>
    <w:rsid w:val="00985F47"/>
    <w:rsid w:val="0098626F"/>
    <w:rsid w:val="00990630"/>
    <w:rsid w:val="00990689"/>
    <w:rsid w:val="009912EB"/>
    <w:rsid w:val="00991761"/>
    <w:rsid w:val="009918D4"/>
    <w:rsid w:val="009946EA"/>
    <w:rsid w:val="00994DCA"/>
    <w:rsid w:val="009960EC"/>
    <w:rsid w:val="009970DD"/>
    <w:rsid w:val="00997EFB"/>
    <w:rsid w:val="009A0FBA"/>
    <w:rsid w:val="009A1601"/>
    <w:rsid w:val="009A3347"/>
    <w:rsid w:val="009A3BB6"/>
    <w:rsid w:val="009A3E1A"/>
    <w:rsid w:val="009A462D"/>
    <w:rsid w:val="009A5806"/>
    <w:rsid w:val="009A5CBA"/>
    <w:rsid w:val="009A6866"/>
    <w:rsid w:val="009B0D0E"/>
    <w:rsid w:val="009B1F30"/>
    <w:rsid w:val="009B2DC6"/>
    <w:rsid w:val="009B3AC2"/>
    <w:rsid w:val="009B4DF4"/>
    <w:rsid w:val="009B564E"/>
    <w:rsid w:val="009B7E87"/>
    <w:rsid w:val="009C00CE"/>
    <w:rsid w:val="009C0169"/>
    <w:rsid w:val="009C19B4"/>
    <w:rsid w:val="009C403E"/>
    <w:rsid w:val="009C4596"/>
    <w:rsid w:val="009C45FD"/>
    <w:rsid w:val="009D1941"/>
    <w:rsid w:val="009D27D6"/>
    <w:rsid w:val="009D452A"/>
    <w:rsid w:val="009D4FF0"/>
    <w:rsid w:val="009D6FDB"/>
    <w:rsid w:val="009D703C"/>
    <w:rsid w:val="009D718F"/>
    <w:rsid w:val="009E068F"/>
    <w:rsid w:val="009E0E36"/>
    <w:rsid w:val="009E11E1"/>
    <w:rsid w:val="009E14E0"/>
    <w:rsid w:val="009E35DB"/>
    <w:rsid w:val="009E47A3"/>
    <w:rsid w:val="009E47DF"/>
    <w:rsid w:val="009E5421"/>
    <w:rsid w:val="009E650C"/>
    <w:rsid w:val="009F071E"/>
    <w:rsid w:val="009F08F3"/>
    <w:rsid w:val="009F0D27"/>
    <w:rsid w:val="009F20A1"/>
    <w:rsid w:val="009F2343"/>
    <w:rsid w:val="009F2EC7"/>
    <w:rsid w:val="009F33C5"/>
    <w:rsid w:val="009F344F"/>
    <w:rsid w:val="009F3EB0"/>
    <w:rsid w:val="009F570D"/>
    <w:rsid w:val="00A029A9"/>
    <w:rsid w:val="00A031D8"/>
    <w:rsid w:val="00A03453"/>
    <w:rsid w:val="00A048A8"/>
    <w:rsid w:val="00A04F49"/>
    <w:rsid w:val="00A138EC"/>
    <w:rsid w:val="00A13E54"/>
    <w:rsid w:val="00A14B21"/>
    <w:rsid w:val="00A1509C"/>
    <w:rsid w:val="00A15C2B"/>
    <w:rsid w:val="00A17F63"/>
    <w:rsid w:val="00A2193B"/>
    <w:rsid w:val="00A21CAA"/>
    <w:rsid w:val="00A2204D"/>
    <w:rsid w:val="00A2263E"/>
    <w:rsid w:val="00A23251"/>
    <w:rsid w:val="00A2351A"/>
    <w:rsid w:val="00A25DC9"/>
    <w:rsid w:val="00A264A9"/>
    <w:rsid w:val="00A267D7"/>
    <w:rsid w:val="00A26DCF"/>
    <w:rsid w:val="00A27785"/>
    <w:rsid w:val="00A30187"/>
    <w:rsid w:val="00A31151"/>
    <w:rsid w:val="00A314E9"/>
    <w:rsid w:val="00A3448A"/>
    <w:rsid w:val="00A34DD3"/>
    <w:rsid w:val="00A36297"/>
    <w:rsid w:val="00A37381"/>
    <w:rsid w:val="00A3745D"/>
    <w:rsid w:val="00A4053F"/>
    <w:rsid w:val="00A41E2B"/>
    <w:rsid w:val="00A45B74"/>
    <w:rsid w:val="00A51C84"/>
    <w:rsid w:val="00A52127"/>
    <w:rsid w:val="00A52E1D"/>
    <w:rsid w:val="00A54C0E"/>
    <w:rsid w:val="00A55DB1"/>
    <w:rsid w:val="00A61499"/>
    <w:rsid w:val="00A6228C"/>
    <w:rsid w:val="00A62A77"/>
    <w:rsid w:val="00A62B86"/>
    <w:rsid w:val="00A6323E"/>
    <w:rsid w:val="00A63483"/>
    <w:rsid w:val="00A64B5A"/>
    <w:rsid w:val="00A657D7"/>
    <w:rsid w:val="00A660AC"/>
    <w:rsid w:val="00A67E6C"/>
    <w:rsid w:val="00A71B99"/>
    <w:rsid w:val="00A72C1F"/>
    <w:rsid w:val="00A739D0"/>
    <w:rsid w:val="00A75DFA"/>
    <w:rsid w:val="00A761D4"/>
    <w:rsid w:val="00A7737D"/>
    <w:rsid w:val="00A77EC4"/>
    <w:rsid w:val="00A812CC"/>
    <w:rsid w:val="00A81CC6"/>
    <w:rsid w:val="00A8294D"/>
    <w:rsid w:val="00A85960"/>
    <w:rsid w:val="00A86A06"/>
    <w:rsid w:val="00A87755"/>
    <w:rsid w:val="00A878F0"/>
    <w:rsid w:val="00A87CCB"/>
    <w:rsid w:val="00A92879"/>
    <w:rsid w:val="00A92B42"/>
    <w:rsid w:val="00A9442A"/>
    <w:rsid w:val="00A95035"/>
    <w:rsid w:val="00A961B7"/>
    <w:rsid w:val="00A96DD3"/>
    <w:rsid w:val="00A979D6"/>
    <w:rsid w:val="00AA016F"/>
    <w:rsid w:val="00AA0230"/>
    <w:rsid w:val="00AA14DA"/>
    <w:rsid w:val="00AA1ED6"/>
    <w:rsid w:val="00AA51D6"/>
    <w:rsid w:val="00AA5731"/>
    <w:rsid w:val="00AB0BC8"/>
    <w:rsid w:val="00AB11CA"/>
    <w:rsid w:val="00AB14D9"/>
    <w:rsid w:val="00AB3B9A"/>
    <w:rsid w:val="00AB4AB8"/>
    <w:rsid w:val="00AB655E"/>
    <w:rsid w:val="00AB6E3E"/>
    <w:rsid w:val="00AB7EA6"/>
    <w:rsid w:val="00AC007F"/>
    <w:rsid w:val="00AC1431"/>
    <w:rsid w:val="00AC145E"/>
    <w:rsid w:val="00AC2ECD"/>
    <w:rsid w:val="00AC3119"/>
    <w:rsid w:val="00AC49FB"/>
    <w:rsid w:val="00AC5A10"/>
    <w:rsid w:val="00AC65BB"/>
    <w:rsid w:val="00AC66F3"/>
    <w:rsid w:val="00AD001C"/>
    <w:rsid w:val="00AD0AA3"/>
    <w:rsid w:val="00AD25AF"/>
    <w:rsid w:val="00AD2999"/>
    <w:rsid w:val="00AD2AD0"/>
    <w:rsid w:val="00AD2ED0"/>
    <w:rsid w:val="00AD3F94"/>
    <w:rsid w:val="00AD45A2"/>
    <w:rsid w:val="00AD4A5A"/>
    <w:rsid w:val="00AD4E2E"/>
    <w:rsid w:val="00AE0870"/>
    <w:rsid w:val="00AE27AC"/>
    <w:rsid w:val="00AE281F"/>
    <w:rsid w:val="00AE3371"/>
    <w:rsid w:val="00AE40E0"/>
    <w:rsid w:val="00AE4DBA"/>
    <w:rsid w:val="00AE4F07"/>
    <w:rsid w:val="00AE528A"/>
    <w:rsid w:val="00AE5EFB"/>
    <w:rsid w:val="00AE6818"/>
    <w:rsid w:val="00AF0D3D"/>
    <w:rsid w:val="00AF142D"/>
    <w:rsid w:val="00AF1C5D"/>
    <w:rsid w:val="00AF1DCE"/>
    <w:rsid w:val="00AF42D7"/>
    <w:rsid w:val="00AF5372"/>
    <w:rsid w:val="00AF5BEE"/>
    <w:rsid w:val="00B006FE"/>
    <w:rsid w:val="00B007CB"/>
    <w:rsid w:val="00B023A1"/>
    <w:rsid w:val="00B02AA9"/>
    <w:rsid w:val="00B02FA3"/>
    <w:rsid w:val="00B048E3"/>
    <w:rsid w:val="00B05084"/>
    <w:rsid w:val="00B06002"/>
    <w:rsid w:val="00B07E35"/>
    <w:rsid w:val="00B120E6"/>
    <w:rsid w:val="00B13CA6"/>
    <w:rsid w:val="00B157F9"/>
    <w:rsid w:val="00B20256"/>
    <w:rsid w:val="00B20599"/>
    <w:rsid w:val="00B2071A"/>
    <w:rsid w:val="00B20D09"/>
    <w:rsid w:val="00B20DDB"/>
    <w:rsid w:val="00B22567"/>
    <w:rsid w:val="00B22C41"/>
    <w:rsid w:val="00B24A71"/>
    <w:rsid w:val="00B26F9A"/>
    <w:rsid w:val="00B273B4"/>
    <w:rsid w:val="00B2763F"/>
    <w:rsid w:val="00B278F6"/>
    <w:rsid w:val="00B27AAC"/>
    <w:rsid w:val="00B301DA"/>
    <w:rsid w:val="00B30929"/>
    <w:rsid w:val="00B324D9"/>
    <w:rsid w:val="00B32574"/>
    <w:rsid w:val="00B353B1"/>
    <w:rsid w:val="00B353E0"/>
    <w:rsid w:val="00B372AA"/>
    <w:rsid w:val="00B379DC"/>
    <w:rsid w:val="00B40445"/>
    <w:rsid w:val="00B409E0"/>
    <w:rsid w:val="00B415E1"/>
    <w:rsid w:val="00B41888"/>
    <w:rsid w:val="00B45A52"/>
    <w:rsid w:val="00B46175"/>
    <w:rsid w:val="00B46724"/>
    <w:rsid w:val="00B47883"/>
    <w:rsid w:val="00B5393E"/>
    <w:rsid w:val="00B53F46"/>
    <w:rsid w:val="00B548B7"/>
    <w:rsid w:val="00B57781"/>
    <w:rsid w:val="00B57F99"/>
    <w:rsid w:val="00B61870"/>
    <w:rsid w:val="00B63395"/>
    <w:rsid w:val="00B664C7"/>
    <w:rsid w:val="00B70F4A"/>
    <w:rsid w:val="00B72553"/>
    <w:rsid w:val="00B739F6"/>
    <w:rsid w:val="00B73AC1"/>
    <w:rsid w:val="00B769D2"/>
    <w:rsid w:val="00B80550"/>
    <w:rsid w:val="00B807F3"/>
    <w:rsid w:val="00B80D2A"/>
    <w:rsid w:val="00B81A6C"/>
    <w:rsid w:val="00B82F87"/>
    <w:rsid w:val="00B83975"/>
    <w:rsid w:val="00B85DE5"/>
    <w:rsid w:val="00B90F73"/>
    <w:rsid w:val="00B91680"/>
    <w:rsid w:val="00B92426"/>
    <w:rsid w:val="00B93B59"/>
    <w:rsid w:val="00B9406A"/>
    <w:rsid w:val="00B949E1"/>
    <w:rsid w:val="00B94B0D"/>
    <w:rsid w:val="00B9715C"/>
    <w:rsid w:val="00BA0EE2"/>
    <w:rsid w:val="00BA1C8F"/>
    <w:rsid w:val="00BA2280"/>
    <w:rsid w:val="00BA2A08"/>
    <w:rsid w:val="00BA56D2"/>
    <w:rsid w:val="00BA69DD"/>
    <w:rsid w:val="00BA7172"/>
    <w:rsid w:val="00BA76E0"/>
    <w:rsid w:val="00BB15D9"/>
    <w:rsid w:val="00BB2087"/>
    <w:rsid w:val="00BB2A25"/>
    <w:rsid w:val="00BB51E9"/>
    <w:rsid w:val="00BB7014"/>
    <w:rsid w:val="00BB718F"/>
    <w:rsid w:val="00BC0FDC"/>
    <w:rsid w:val="00BC2C7A"/>
    <w:rsid w:val="00BC3053"/>
    <w:rsid w:val="00BC4D2E"/>
    <w:rsid w:val="00BD48AC"/>
    <w:rsid w:val="00BD5F1A"/>
    <w:rsid w:val="00BD7129"/>
    <w:rsid w:val="00BE1234"/>
    <w:rsid w:val="00BE2FA6"/>
    <w:rsid w:val="00BE333F"/>
    <w:rsid w:val="00BE4832"/>
    <w:rsid w:val="00BE598B"/>
    <w:rsid w:val="00BE7406"/>
    <w:rsid w:val="00BE7603"/>
    <w:rsid w:val="00BF3279"/>
    <w:rsid w:val="00BF74C7"/>
    <w:rsid w:val="00C008D6"/>
    <w:rsid w:val="00C015F1"/>
    <w:rsid w:val="00C01F33"/>
    <w:rsid w:val="00C02555"/>
    <w:rsid w:val="00C02CC6"/>
    <w:rsid w:val="00C03EC6"/>
    <w:rsid w:val="00C040F7"/>
    <w:rsid w:val="00C044AB"/>
    <w:rsid w:val="00C0478C"/>
    <w:rsid w:val="00C055C7"/>
    <w:rsid w:val="00C05706"/>
    <w:rsid w:val="00C07377"/>
    <w:rsid w:val="00C1044A"/>
    <w:rsid w:val="00C10478"/>
    <w:rsid w:val="00C12107"/>
    <w:rsid w:val="00C14D4B"/>
    <w:rsid w:val="00C154BB"/>
    <w:rsid w:val="00C156BE"/>
    <w:rsid w:val="00C22105"/>
    <w:rsid w:val="00C25290"/>
    <w:rsid w:val="00C27789"/>
    <w:rsid w:val="00C279B5"/>
    <w:rsid w:val="00C27B1B"/>
    <w:rsid w:val="00C27C45"/>
    <w:rsid w:val="00C31475"/>
    <w:rsid w:val="00C336B6"/>
    <w:rsid w:val="00C3719D"/>
    <w:rsid w:val="00C37B4D"/>
    <w:rsid w:val="00C37CB2"/>
    <w:rsid w:val="00C404DE"/>
    <w:rsid w:val="00C41423"/>
    <w:rsid w:val="00C4427C"/>
    <w:rsid w:val="00C45A5C"/>
    <w:rsid w:val="00C45A96"/>
    <w:rsid w:val="00C470FC"/>
    <w:rsid w:val="00C473A5"/>
    <w:rsid w:val="00C5054E"/>
    <w:rsid w:val="00C54995"/>
    <w:rsid w:val="00C54D41"/>
    <w:rsid w:val="00C55A2A"/>
    <w:rsid w:val="00C60783"/>
    <w:rsid w:val="00C62702"/>
    <w:rsid w:val="00C64672"/>
    <w:rsid w:val="00C66E70"/>
    <w:rsid w:val="00C70697"/>
    <w:rsid w:val="00C70EEC"/>
    <w:rsid w:val="00C714F2"/>
    <w:rsid w:val="00C71C25"/>
    <w:rsid w:val="00C72076"/>
    <w:rsid w:val="00C72093"/>
    <w:rsid w:val="00C72EF4"/>
    <w:rsid w:val="00C744FE"/>
    <w:rsid w:val="00C75D2F"/>
    <w:rsid w:val="00C767BE"/>
    <w:rsid w:val="00C76E3C"/>
    <w:rsid w:val="00C77B01"/>
    <w:rsid w:val="00C81568"/>
    <w:rsid w:val="00C82237"/>
    <w:rsid w:val="00C9027A"/>
    <w:rsid w:val="00C9068E"/>
    <w:rsid w:val="00C91EBB"/>
    <w:rsid w:val="00C935A0"/>
    <w:rsid w:val="00C93814"/>
    <w:rsid w:val="00C93C4B"/>
    <w:rsid w:val="00C944AB"/>
    <w:rsid w:val="00C95B40"/>
    <w:rsid w:val="00C96141"/>
    <w:rsid w:val="00C97CB3"/>
    <w:rsid w:val="00CA0538"/>
    <w:rsid w:val="00CA0922"/>
    <w:rsid w:val="00CA13C6"/>
    <w:rsid w:val="00CA1ED8"/>
    <w:rsid w:val="00CA2DED"/>
    <w:rsid w:val="00CA4DC9"/>
    <w:rsid w:val="00CA4E6E"/>
    <w:rsid w:val="00CA570A"/>
    <w:rsid w:val="00CB1F63"/>
    <w:rsid w:val="00CB5B49"/>
    <w:rsid w:val="00CB7170"/>
    <w:rsid w:val="00CC040E"/>
    <w:rsid w:val="00CC111F"/>
    <w:rsid w:val="00CC1187"/>
    <w:rsid w:val="00CC1EFE"/>
    <w:rsid w:val="00CC2011"/>
    <w:rsid w:val="00CC3EA0"/>
    <w:rsid w:val="00CC5E15"/>
    <w:rsid w:val="00CC7B45"/>
    <w:rsid w:val="00CD1188"/>
    <w:rsid w:val="00CD183E"/>
    <w:rsid w:val="00CD2ED1"/>
    <w:rsid w:val="00CD337B"/>
    <w:rsid w:val="00CD7139"/>
    <w:rsid w:val="00CE0424"/>
    <w:rsid w:val="00CE1325"/>
    <w:rsid w:val="00CE3BD9"/>
    <w:rsid w:val="00CE6AA4"/>
    <w:rsid w:val="00CE7561"/>
    <w:rsid w:val="00CF1354"/>
    <w:rsid w:val="00CF1F77"/>
    <w:rsid w:val="00CF3B1F"/>
    <w:rsid w:val="00CF3BF6"/>
    <w:rsid w:val="00CF625B"/>
    <w:rsid w:val="00CF687E"/>
    <w:rsid w:val="00D0262C"/>
    <w:rsid w:val="00D02B0C"/>
    <w:rsid w:val="00D032CB"/>
    <w:rsid w:val="00D0349B"/>
    <w:rsid w:val="00D10249"/>
    <w:rsid w:val="00D115C3"/>
    <w:rsid w:val="00D11897"/>
    <w:rsid w:val="00D13135"/>
    <w:rsid w:val="00D13E4E"/>
    <w:rsid w:val="00D16FAA"/>
    <w:rsid w:val="00D21FBC"/>
    <w:rsid w:val="00D239A7"/>
    <w:rsid w:val="00D23F47"/>
    <w:rsid w:val="00D25792"/>
    <w:rsid w:val="00D27714"/>
    <w:rsid w:val="00D35E96"/>
    <w:rsid w:val="00D36E71"/>
    <w:rsid w:val="00D37D87"/>
    <w:rsid w:val="00D40B33"/>
    <w:rsid w:val="00D4280E"/>
    <w:rsid w:val="00D4318F"/>
    <w:rsid w:val="00D438BF"/>
    <w:rsid w:val="00D440F8"/>
    <w:rsid w:val="00D53768"/>
    <w:rsid w:val="00D546FF"/>
    <w:rsid w:val="00D55AD5"/>
    <w:rsid w:val="00D5634B"/>
    <w:rsid w:val="00D57647"/>
    <w:rsid w:val="00D576CA"/>
    <w:rsid w:val="00D5773C"/>
    <w:rsid w:val="00D57933"/>
    <w:rsid w:val="00D61AF5"/>
    <w:rsid w:val="00D61EFC"/>
    <w:rsid w:val="00D62A2A"/>
    <w:rsid w:val="00D64359"/>
    <w:rsid w:val="00D652B5"/>
    <w:rsid w:val="00D66155"/>
    <w:rsid w:val="00D67979"/>
    <w:rsid w:val="00D70446"/>
    <w:rsid w:val="00D708B0"/>
    <w:rsid w:val="00D71E2C"/>
    <w:rsid w:val="00D72402"/>
    <w:rsid w:val="00D726A9"/>
    <w:rsid w:val="00D72BC1"/>
    <w:rsid w:val="00D74B19"/>
    <w:rsid w:val="00D763B1"/>
    <w:rsid w:val="00D77B1D"/>
    <w:rsid w:val="00D8021F"/>
    <w:rsid w:val="00D80383"/>
    <w:rsid w:val="00D809D2"/>
    <w:rsid w:val="00D823C6"/>
    <w:rsid w:val="00D829E9"/>
    <w:rsid w:val="00D830AC"/>
    <w:rsid w:val="00D8327F"/>
    <w:rsid w:val="00D85F4C"/>
    <w:rsid w:val="00D86CA3"/>
    <w:rsid w:val="00D87044"/>
    <w:rsid w:val="00D871CE"/>
    <w:rsid w:val="00D902C6"/>
    <w:rsid w:val="00D90B60"/>
    <w:rsid w:val="00D918C4"/>
    <w:rsid w:val="00D9196D"/>
    <w:rsid w:val="00D92982"/>
    <w:rsid w:val="00D9314B"/>
    <w:rsid w:val="00D94931"/>
    <w:rsid w:val="00D95F9F"/>
    <w:rsid w:val="00D96338"/>
    <w:rsid w:val="00DA087D"/>
    <w:rsid w:val="00DA12B7"/>
    <w:rsid w:val="00DA305E"/>
    <w:rsid w:val="00DA3ECC"/>
    <w:rsid w:val="00DA5417"/>
    <w:rsid w:val="00DA56E8"/>
    <w:rsid w:val="00DA5878"/>
    <w:rsid w:val="00DB0A9F"/>
    <w:rsid w:val="00DB14D1"/>
    <w:rsid w:val="00DB377D"/>
    <w:rsid w:val="00DB627B"/>
    <w:rsid w:val="00DB72AF"/>
    <w:rsid w:val="00DC1D85"/>
    <w:rsid w:val="00DC2475"/>
    <w:rsid w:val="00DC24AC"/>
    <w:rsid w:val="00DC2D36"/>
    <w:rsid w:val="00DC53EF"/>
    <w:rsid w:val="00DD2379"/>
    <w:rsid w:val="00DD3E5E"/>
    <w:rsid w:val="00DD4B47"/>
    <w:rsid w:val="00DD703A"/>
    <w:rsid w:val="00DD7C4A"/>
    <w:rsid w:val="00DE0939"/>
    <w:rsid w:val="00DE5608"/>
    <w:rsid w:val="00DE58D0"/>
    <w:rsid w:val="00DE5911"/>
    <w:rsid w:val="00DE654F"/>
    <w:rsid w:val="00DE6CE8"/>
    <w:rsid w:val="00DF00BF"/>
    <w:rsid w:val="00DF0B6E"/>
    <w:rsid w:val="00DF15E0"/>
    <w:rsid w:val="00DF37A0"/>
    <w:rsid w:val="00DF5011"/>
    <w:rsid w:val="00E02AD2"/>
    <w:rsid w:val="00E0402C"/>
    <w:rsid w:val="00E06A5B"/>
    <w:rsid w:val="00E06B0A"/>
    <w:rsid w:val="00E07221"/>
    <w:rsid w:val="00E07560"/>
    <w:rsid w:val="00E110E7"/>
    <w:rsid w:val="00E117E2"/>
    <w:rsid w:val="00E11B20"/>
    <w:rsid w:val="00E12A27"/>
    <w:rsid w:val="00E17399"/>
    <w:rsid w:val="00E17FA2"/>
    <w:rsid w:val="00E20D68"/>
    <w:rsid w:val="00E2191D"/>
    <w:rsid w:val="00E22330"/>
    <w:rsid w:val="00E23447"/>
    <w:rsid w:val="00E26C48"/>
    <w:rsid w:val="00E304B6"/>
    <w:rsid w:val="00E30B5A"/>
    <w:rsid w:val="00E30FDF"/>
    <w:rsid w:val="00E3123D"/>
    <w:rsid w:val="00E31461"/>
    <w:rsid w:val="00E31D43"/>
    <w:rsid w:val="00E31D81"/>
    <w:rsid w:val="00E32608"/>
    <w:rsid w:val="00E34188"/>
    <w:rsid w:val="00E34B6E"/>
    <w:rsid w:val="00E34C6C"/>
    <w:rsid w:val="00E35559"/>
    <w:rsid w:val="00E3723A"/>
    <w:rsid w:val="00E37860"/>
    <w:rsid w:val="00E4109A"/>
    <w:rsid w:val="00E41B0F"/>
    <w:rsid w:val="00E43607"/>
    <w:rsid w:val="00E446F1"/>
    <w:rsid w:val="00E46886"/>
    <w:rsid w:val="00E47AEF"/>
    <w:rsid w:val="00E534EA"/>
    <w:rsid w:val="00E53B75"/>
    <w:rsid w:val="00E54965"/>
    <w:rsid w:val="00E54E3B"/>
    <w:rsid w:val="00E57401"/>
    <w:rsid w:val="00E57565"/>
    <w:rsid w:val="00E60BDF"/>
    <w:rsid w:val="00E6180E"/>
    <w:rsid w:val="00E62187"/>
    <w:rsid w:val="00E6248A"/>
    <w:rsid w:val="00E63838"/>
    <w:rsid w:val="00E64434"/>
    <w:rsid w:val="00E6553E"/>
    <w:rsid w:val="00E6624B"/>
    <w:rsid w:val="00E662FD"/>
    <w:rsid w:val="00E6719F"/>
    <w:rsid w:val="00E67C51"/>
    <w:rsid w:val="00E7012C"/>
    <w:rsid w:val="00E72EFC"/>
    <w:rsid w:val="00E745CA"/>
    <w:rsid w:val="00E758EC"/>
    <w:rsid w:val="00E75F5A"/>
    <w:rsid w:val="00E7639D"/>
    <w:rsid w:val="00E81737"/>
    <w:rsid w:val="00E8234C"/>
    <w:rsid w:val="00E835E2"/>
    <w:rsid w:val="00E838E7"/>
    <w:rsid w:val="00E83AA9"/>
    <w:rsid w:val="00E85928"/>
    <w:rsid w:val="00E8620E"/>
    <w:rsid w:val="00E866C5"/>
    <w:rsid w:val="00E87822"/>
    <w:rsid w:val="00E90395"/>
    <w:rsid w:val="00E90E49"/>
    <w:rsid w:val="00E917F9"/>
    <w:rsid w:val="00E921FD"/>
    <w:rsid w:val="00E9291C"/>
    <w:rsid w:val="00E93FFE"/>
    <w:rsid w:val="00E9453F"/>
    <w:rsid w:val="00E94F8A"/>
    <w:rsid w:val="00E95514"/>
    <w:rsid w:val="00E9666F"/>
    <w:rsid w:val="00E96B33"/>
    <w:rsid w:val="00EA10A7"/>
    <w:rsid w:val="00EA3C24"/>
    <w:rsid w:val="00EA763E"/>
    <w:rsid w:val="00EA7A41"/>
    <w:rsid w:val="00EB077B"/>
    <w:rsid w:val="00EB1792"/>
    <w:rsid w:val="00EB1DD1"/>
    <w:rsid w:val="00EB4EA2"/>
    <w:rsid w:val="00EB7E17"/>
    <w:rsid w:val="00EC1D15"/>
    <w:rsid w:val="00EC24D5"/>
    <w:rsid w:val="00EC27C6"/>
    <w:rsid w:val="00EC2F9C"/>
    <w:rsid w:val="00EC3A6B"/>
    <w:rsid w:val="00EC3D8F"/>
    <w:rsid w:val="00EC4207"/>
    <w:rsid w:val="00EC4E86"/>
    <w:rsid w:val="00EC5653"/>
    <w:rsid w:val="00EC584E"/>
    <w:rsid w:val="00EC5D3D"/>
    <w:rsid w:val="00EC71CE"/>
    <w:rsid w:val="00ED1006"/>
    <w:rsid w:val="00ED1790"/>
    <w:rsid w:val="00ED2DCE"/>
    <w:rsid w:val="00ED44DC"/>
    <w:rsid w:val="00ED7164"/>
    <w:rsid w:val="00EE0DC0"/>
    <w:rsid w:val="00EE1D29"/>
    <w:rsid w:val="00EE2C60"/>
    <w:rsid w:val="00EE479F"/>
    <w:rsid w:val="00EE7CB4"/>
    <w:rsid w:val="00EF18FE"/>
    <w:rsid w:val="00EF2498"/>
    <w:rsid w:val="00EF2732"/>
    <w:rsid w:val="00EF351D"/>
    <w:rsid w:val="00EF5787"/>
    <w:rsid w:val="00EF60D0"/>
    <w:rsid w:val="00F03B22"/>
    <w:rsid w:val="00F0528D"/>
    <w:rsid w:val="00F06C67"/>
    <w:rsid w:val="00F06DFD"/>
    <w:rsid w:val="00F07125"/>
    <w:rsid w:val="00F071D1"/>
    <w:rsid w:val="00F0749B"/>
    <w:rsid w:val="00F07533"/>
    <w:rsid w:val="00F10629"/>
    <w:rsid w:val="00F11B64"/>
    <w:rsid w:val="00F122BC"/>
    <w:rsid w:val="00F14E2E"/>
    <w:rsid w:val="00F159FB"/>
    <w:rsid w:val="00F15FA5"/>
    <w:rsid w:val="00F209B7"/>
    <w:rsid w:val="00F2376F"/>
    <w:rsid w:val="00F243D8"/>
    <w:rsid w:val="00F275C6"/>
    <w:rsid w:val="00F3014C"/>
    <w:rsid w:val="00F30828"/>
    <w:rsid w:val="00F313D6"/>
    <w:rsid w:val="00F33B6F"/>
    <w:rsid w:val="00F35DE4"/>
    <w:rsid w:val="00F369A8"/>
    <w:rsid w:val="00F4039B"/>
    <w:rsid w:val="00F40F0C"/>
    <w:rsid w:val="00F41EFE"/>
    <w:rsid w:val="00F43F9D"/>
    <w:rsid w:val="00F4579A"/>
    <w:rsid w:val="00F4766C"/>
    <w:rsid w:val="00F5060E"/>
    <w:rsid w:val="00F507D1"/>
    <w:rsid w:val="00F519CE"/>
    <w:rsid w:val="00F51ADA"/>
    <w:rsid w:val="00F53E65"/>
    <w:rsid w:val="00F5683F"/>
    <w:rsid w:val="00F57087"/>
    <w:rsid w:val="00F60203"/>
    <w:rsid w:val="00F6040E"/>
    <w:rsid w:val="00F607C5"/>
    <w:rsid w:val="00F60DEA"/>
    <w:rsid w:val="00F611DA"/>
    <w:rsid w:val="00F61332"/>
    <w:rsid w:val="00F6302A"/>
    <w:rsid w:val="00F63950"/>
    <w:rsid w:val="00F64C2B"/>
    <w:rsid w:val="00F64E60"/>
    <w:rsid w:val="00F651BE"/>
    <w:rsid w:val="00F662A3"/>
    <w:rsid w:val="00F6666F"/>
    <w:rsid w:val="00F67F53"/>
    <w:rsid w:val="00F703BE"/>
    <w:rsid w:val="00F714BE"/>
    <w:rsid w:val="00F71F69"/>
    <w:rsid w:val="00F72171"/>
    <w:rsid w:val="00F72B72"/>
    <w:rsid w:val="00F74BB9"/>
    <w:rsid w:val="00F75255"/>
    <w:rsid w:val="00F75582"/>
    <w:rsid w:val="00F7689C"/>
    <w:rsid w:val="00F76EFA"/>
    <w:rsid w:val="00F77888"/>
    <w:rsid w:val="00F80103"/>
    <w:rsid w:val="00F804BE"/>
    <w:rsid w:val="00F817CE"/>
    <w:rsid w:val="00F8456C"/>
    <w:rsid w:val="00F8543E"/>
    <w:rsid w:val="00F859D8"/>
    <w:rsid w:val="00F8600B"/>
    <w:rsid w:val="00F868F5"/>
    <w:rsid w:val="00F9056A"/>
    <w:rsid w:val="00F90F8D"/>
    <w:rsid w:val="00F92782"/>
    <w:rsid w:val="00F93311"/>
    <w:rsid w:val="00F93AA9"/>
    <w:rsid w:val="00F95711"/>
    <w:rsid w:val="00F96985"/>
    <w:rsid w:val="00F97838"/>
    <w:rsid w:val="00F97B8A"/>
    <w:rsid w:val="00FA0241"/>
    <w:rsid w:val="00FA0ED6"/>
    <w:rsid w:val="00FA2BB3"/>
    <w:rsid w:val="00FA3750"/>
    <w:rsid w:val="00FA3919"/>
    <w:rsid w:val="00FA5E94"/>
    <w:rsid w:val="00FA64E3"/>
    <w:rsid w:val="00FA6B19"/>
    <w:rsid w:val="00FA6FCB"/>
    <w:rsid w:val="00FB4C80"/>
    <w:rsid w:val="00FB6A6A"/>
    <w:rsid w:val="00FB6C42"/>
    <w:rsid w:val="00FB6C5B"/>
    <w:rsid w:val="00FC7429"/>
    <w:rsid w:val="00FD010A"/>
    <w:rsid w:val="00FD07F6"/>
    <w:rsid w:val="00FD1EC8"/>
    <w:rsid w:val="00FD2C58"/>
    <w:rsid w:val="00FD47ED"/>
    <w:rsid w:val="00FD7253"/>
    <w:rsid w:val="00FD74DB"/>
    <w:rsid w:val="00FD7660"/>
    <w:rsid w:val="00FE0655"/>
    <w:rsid w:val="00FE06E5"/>
    <w:rsid w:val="00FE2365"/>
    <w:rsid w:val="00FE37D7"/>
    <w:rsid w:val="00FE4C7B"/>
    <w:rsid w:val="00FE7336"/>
    <w:rsid w:val="00FE787C"/>
    <w:rsid w:val="00FF0EC1"/>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172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8817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725"/>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link w:val="TACChar"/>
    <w:qFormat/>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qFormat/>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qFormat/>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 w:val="22"/>
      <w:szCs w:val="22"/>
      <w:lang w:val="en-US"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22C41"/>
    <w:rPr>
      <w:lang w:val="en-GB"/>
    </w:rPr>
  </w:style>
  <w:style w:type="character" w:customStyle="1" w:styleId="TACChar">
    <w:name w:val="TAC Char"/>
    <w:link w:val="TAC"/>
    <w:qFormat/>
    <w:rsid w:val="00BC2C7A"/>
    <w:rPr>
      <w:rFonts w:ascii="Arial" w:hAnsi="Arial"/>
      <w:sz w:val="18"/>
      <w:lang w:val="x-none" w:eastAsia="x-none"/>
    </w:rPr>
  </w:style>
  <w:style w:type="character" w:styleId="PlaceholderText">
    <w:name w:val="Placeholder Text"/>
    <w:basedOn w:val="DefaultParagraphFont"/>
    <w:uiPriority w:val="99"/>
    <w:semiHidden/>
    <w:rsid w:val="005A05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62653039">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05030063">
      <w:bodyDiv w:val="1"/>
      <w:marLeft w:val="0"/>
      <w:marRight w:val="0"/>
      <w:marTop w:val="0"/>
      <w:marBottom w:val="0"/>
      <w:divBdr>
        <w:top w:val="none" w:sz="0" w:space="0" w:color="auto"/>
        <w:left w:val="none" w:sz="0" w:space="0" w:color="auto"/>
        <w:bottom w:val="none" w:sz="0" w:space="0" w:color="auto"/>
        <w:right w:val="none" w:sz="0" w:space="0" w:color="auto"/>
      </w:divBdr>
    </w:div>
    <w:div w:id="522670629">
      <w:bodyDiv w:val="1"/>
      <w:marLeft w:val="0"/>
      <w:marRight w:val="0"/>
      <w:marTop w:val="0"/>
      <w:marBottom w:val="0"/>
      <w:divBdr>
        <w:top w:val="none" w:sz="0" w:space="0" w:color="auto"/>
        <w:left w:val="none" w:sz="0" w:space="0" w:color="auto"/>
        <w:bottom w:val="none" w:sz="0" w:space="0" w:color="auto"/>
        <w:right w:val="none" w:sz="0" w:space="0" w:color="auto"/>
      </w:divBdr>
    </w:div>
    <w:div w:id="589702447">
      <w:bodyDiv w:val="1"/>
      <w:marLeft w:val="0"/>
      <w:marRight w:val="0"/>
      <w:marTop w:val="0"/>
      <w:marBottom w:val="0"/>
      <w:divBdr>
        <w:top w:val="none" w:sz="0" w:space="0" w:color="auto"/>
        <w:left w:val="none" w:sz="0" w:space="0" w:color="auto"/>
        <w:bottom w:val="none" w:sz="0" w:space="0" w:color="auto"/>
        <w:right w:val="none" w:sz="0" w:space="0" w:color="auto"/>
      </w:divBdr>
    </w:div>
    <w:div w:id="63511281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61151005">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72500562">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209029030">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431201415">
      <w:bodyDiv w:val="1"/>
      <w:marLeft w:val="0"/>
      <w:marRight w:val="0"/>
      <w:marTop w:val="0"/>
      <w:marBottom w:val="0"/>
      <w:divBdr>
        <w:top w:val="none" w:sz="0" w:space="0" w:color="auto"/>
        <w:left w:val="none" w:sz="0" w:space="0" w:color="auto"/>
        <w:bottom w:val="none" w:sz="0" w:space="0" w:color="auto"/>
        <w:right w:val="none" w:sz="0" w:space="0" w:color="auto"/>
      </w:divBdr>
    </w:div>
    <w:div w:id="1450777661">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533298373">
      <w:bodyDiv w:val="1"/>
      <w:marLeft w:val="0"/>
      <w:marRight w:val="0"/>
      <w:marTop w:val="0"/>
      <w:marBottom w:val="0"/>
      <w:divBdr>
        <w:top w:val="none" w:sz="0" w:space="0" w:color="auto"/>
        <w:left w:val="none" w:sz="0" w:space="0" w:color="auto"/>
        <w:bottom w:val="none" w:sz="0" w:space="0" w:color="auto"/>
        <w:right w:val="none" w:sz="0" w:space="0" w:color="auto"/>
      </w:divBdr>
      <w:divsChild>
        <w:div w:id="108664105">
          <w:marLeft w:val="547"/>
          <w:marRight w:val="0"/>
          <w:marTop w:val="60"/>
          <w:marBottom w:val="0"/>
          <w:divBdr>
            <w:top w:val="none" w:sz="0" w:space="0" w:color="auto"/>
            <w:left w:val="none" w:sz="0" w:space="0" w:color="auto"/>
            <w:bottom w:val="none" w:sz="0" w:space="0" w:color="auto"/>
            <w:right w:val="none" w:sz="0" w:space="0" w:color="auto"/>
          </w:divBdr>
        </w:div>
        <w:div w:id="538205525">
          <w:marLeft w:val="1123"/>
          <w:marRight w:val="0"/>
          <w:marTop w:val="60"/>
          <w:marBottom w:val="0"/>
          <w:divBdr>
            <w:top w:val="none" w:sz="0" w:space="0" w:color="auto"/>
            <w:left w:val="none" w:sz="0" w:space="0" w:color="auto"/>
            <w:bottom w:val="none" w:sz="0" w:space="0" w:color="auto"/>
            <w:right w:val="none" w:sz="0" w:space="0" w:color="auto"/>
          </w:divBdr>
        </w:div>
        <w:div w:id="1848324309">
          <w:marLeft w:val="547"/>
          <w:marRight w:val="0"/>
          <w:marTop w:val="60"/>
          <w:marBottom w:val="0"/>
          <w:divBdr>
            <w:top w:val="none" w:sz="0" w:space="0" w:color="auto"/>
            <w:left w:val="none" w:sz="0" w:space="0" w:color="auto"/>
            <w:bottom w:val="none" w:sz="0" w:space="0" w:color="auto"/>
            <w:right w:val="none" w:sz="0" w:space="0" w:color="auto"/>
          </w:divBdr>
        </w:div>
        <w:div w:id="772482841">
          <w:marLeft w:val="1123"/>
          <w:marRight w:val="0"/>
          <w:marTop w:val="60"/>
          <w:marBottom w:val="0"/>
          <w:divBdr>
            <w:top w:val="none" w:sz="0" w:space="0" w:color="auto"/>
            <w:left w:val="none" w:sz="0" w:space="0" w:color="auto"/>
            <w:bottom w:val="none" w:sz="0" w:space="0" w:color="auto"/>
            <w:right w:val="none" w:sz="0" w:space="0" w:color="auto"/>
          </w:divBdr>
        </w:div>
        <w:div w:id="496071025">
          <w:marLeft w:val="1699"/>
          <w:marRight w:val="0"/>
          <w:marTop w:val="60"/>
          <w:marBottom w:val="0"/>
          <w:divBdr>
            <w:top w:val="none" w:sz="0" w:space="0" w:color="auto"/>
            <w:left w:val="none" w:sz="0" w:space="0" w:color="auto"/>
            <w:bottom w:val="none" w:sz="0" w:space="0" w:color="auto"/>
            <w:right w:val="none" w:sz="0" w:space="0" w:color="auto"/>
          </w:divBdr>
        </w:div>
        <w:div w:id="2004165254">
          <w:marLeft w:val="1123"/>
          <w:marRight w:val="0"/>
          <w:marTop w:val="60"/>
          <w:marBottom w:val="0"/>
          <w:divBdr>
            <w:top w:val="none" w:sz="0" w:space="0" w:color="auto"/>
            <w:left w:val="none" w:sz="0" w:space="0" w:color="auto"/>
            <w:bottom w:val="none" w:sz="0" w:space="0" w:color="auto"/>
            <w:right w:val="none" w:sz="0" w:space="0" w:color="auto"/>
          </w:divBdr>
        </w:div>
        <w:div w:id="685909778">
          <w:marLeft w:val="1123"/>
          <w:marRight w:val="0"/>
          <w:marTop w:val="60"/>
          <w:marBottom w:val="0"/>
          <w:divBdr>
            <w:top w:val="none" w:sz="0" w:space="0" w:color="auto"/>
            <w:left w:val="none" w:sz="0" w:space="0" w:color="auto"/>
            <w:bottom w:val="none" w:sz="0" w:space="0" w:color="auto"/>
            <w:right w:val="none" w:sz="0" w:space="0" w:color="auto"/>
          </w:divBdr>
        </w:div>
        <w:div w:id="994643468">
          <w:marLeft w:val="547"/>
          <w:marRight w:val="0"/>
          <w:marTop w:val="60"/>
          <w:marBottom w:val="0"/>
          <w:divBdr>
            <w:top w:val="none" w:sz="0" w:space="0" w:color="auto"/>
            <w:left w:val="none" w:sz="0" w:space="0" w:color="auto"/>
            <w:bottom w:val="none" w:sz="0" w:space="0" w:color="auto"/>
            <w:right w:val="none" w:sz="0" w:space="0" w:color="auto"/>
          </w:divBdr>
        </w:div>
        <w:div w:id="1988901150">
          <w:marLeft w:val="1123"/>
          <w:marRight w:val="0"/>
          <w:marTop w:val="60"/>
          <w:marBottom w:val="0"/>
          <w:divBdr>
            <w:top w:val="none" w:sz="0" w:space="0" w:color="auto"/>
            <w:left w:val="none" w:sz="0" w:space="0" w:color="auto"/>
            <w:bottom w:val="none" w:sz="0" w:space="0" w:color="auto"/>
            <w:right w:val="none" w:sz="0" w:space="0" w:color="auto"/>
          </w:divBdr>
        </w:div>
      </w:divsChild>
    </w:div>
    <w:div w:id="1651985384">
      <w:bodyDiv w:val="1"/>
      <w:marLeft w:val="0"/>
      <w:marRight w:val="0"/>
      <w:marTop w:val="0"/>
      <w:marBottom w:val="0"/>
      <w:divBdr>
        <w:top w:val="none" w:sz="0" w:space="0" w:color="auto"/>
        <w:left w:val="none" w:sz="0" w:space="0" w:color="auto"/>
        <w:bottom w:val="none" w:sz="0" w:space="0" w:color="auto"/>
        <w:right w:val="none" w:sz="0" w:space="0" w:color="auto"/>
      </w:divBdr>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78495982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40971918">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039547479">
      <w:bodyDiv w:val="1"/>
      <w:marLeft w:val="0"/>
      <w:marRight w:val="0"/>
      <w:marTop w:val="0"/>
      <w:marBottom w:val="0"/>
      <w:divBdr>
        <w:top w:val="none" w:sz="0" w:space="0" w:color="auto"/>
        <w:left w:val="none" w:sz="0" w:space="0" w:color="auto"/>
        <w:bottom w:val="none" w:sz="0" w:space="0" w:color="auto"/>
        <w:right w:val="none" w:sz="0" w:space="0" w:color="auto"/>
      </w:divBdr>
    </w:div>
    <w:div w:id="2119761942">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35401364-8388-4C3B-B03A-E8CE7A380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DDABEF-8F8C-4A12-B9C0-C98AE756467F}">
  <ds:schemaRef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56C7AF74-45B9-449E-9500-6C9514AA7399}">
  <ds:schemaRefs>
    <ds:schemaRef ds:uri="http://schemas.microsoft.com/sharepoint/v3/contenttype/forms"/>
  </ds:schemaRefs>
</ds:datastoreItem>
</file>

<file path=customXml/itemProps4.xml><?xml version="1.0" encoding="utf-8"?>
<ds:datastoreItem xmlns:ds="http://schemas.openxmlformats.org/officeDocument/2006/customXml" ds:itemID="{BDED619A-406D-4213-A931-6768F3D6A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4615</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2019-03-30T06:01:00Z</dcterms:created>
  <dcterms:modified xsi:type="dcterms:W3CDTF">2019-05-04T03:36:00Z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2">
    <vt:lpwstr>198</vt:lpwstr>
  </property>
</Properties>
</file>